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046D" w14:textId="0C00380A" w:rsidR="006816A6" w:rsidRPr="00BB78FF" w:rsidRDefault="009A6E14" w:rsidP="007401AD">
      <w:pPr>
        <w:adjustRightInd w:val="0"/>
        <w:snapToGrid w:val="0"/>
        <w:spacing w:line="600" w:lineRule="exact"/>
        <w:rPr>
          <w:rFonts w:ascii="宋体" w:hAnsi="宋体" w:cs="宋体" w:hint="eastAsia"/>
          <w:b/>
          <w:bCs/>
          <w:kern w:val="0"/>
          <w:sz w:val="24"/>
        </w:rPr>
      </w:pPr>
      <w:bookmarkStart w:id="0" w:name="_Toc330904165"/>
      <w:bookmarkStart w:id="1" w:name="_Toc340839649"/>
      <w:bookmarkStart w:id="2" w:name="_Toc501975012"/>
      <w:r w:rsidRPr="00BB78FF">
        <w:rPr>
          <w:rFonts w:ascii="宋体" w:hAnsi="宋体" w:cs="宋体" w:hint="eastAsia"/>
          <w:b/>
          <w:bCs/>
          <w:kern w:val="0"/>
          <w:sz w:val="24"/>
        </w:rPr>
        <w:t>证券代码：</w:t>
      </w:r>
      <w:r w:rsidR="00917EA3" w:rsidRPr="00BB78FF">
        <w:rPr>
          <w:rFonts w:ascii="宋体" w:hAnsi="宋体" w:cs="宋体" w:hint="eastAsia"/>
          <w:b/>
          <w:bCs/>
          <w:kern w:val="0"/>
          <w:sz w:val="24"/>
        </w:rPr>
        <w:t>6</w:t>
      </w:r>
      <w:r w:rsidR="00917EA3" w:rsidRPr="00BB78FF">
        <w:rPr>
          <w:rFonts w:ascii="宋体" w:hAnsi="宋体" w:cs="宋体"/>
          <w:b/>
          <w:bCs/>
          <w:kern w:val="0"/>
          <w:sz w:val="24"/>
        </w:rPr>
        <w:t>88480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  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</w:t>
      </w:r>
      <w:r w:rsidRPr="00BB78FF">
        <w:rPr>
          <w:rFonts w:ascii="宋体" w:hAnsi="宋体" w:cs="宋体" w:hint="eastAsia"/>
          <w:b/>
          <w:bCs/>
          <w:kern w:val="0"/>
          <w:sz w:val="24"/>
        </w:rPr>
        <w:t>证券简称：</w:t>
      </w:r>
      <w:r w:rsidR="00917EA3" w:rsidRPr="00BB78FF">
        <w:rPr>
          <w:rFonts w:ascii="宋体" w:hAnsi="宋体" w:cs="宋体" w:hint="eastAsia"/>
          <w:b/>
          <w:bCs/>
          <w:kern w:val="0"/>
          <w:sz w:val="24"/>
        </w:rPr>
        <w:t>赛恩斯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  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</w:t>
      </w:r>
      <w:r w:rsidRPr="00BB78FF">
        <w:rPr>
          <w:rFonts w:ascii="宋体" w:hAnsi="宋体" w:cs="宋体" w:hint="eastAsia"/>
          <w:b/>
          <w:bCs/>
          <w:kern w:val="0"/>
          <w:sz w:val="24"/>
        </w:rPr>
        <w:t>公告编号：</w:t>
      </w:r>
      <w:r w:rsidR="00BB78FF">
        <w:rPr>
          <w:rFonts w:ascii="宋体" w:hAnsi="宋体" w:cs="宋体" w:hint="eastAsia"/>
          <w:b/>
          <w:bCs/>
          <w:kern w:val="0"/>
          <w:sz w:val="24"/>
        </w:rPr>
        <w:t>2</w:t>
      </w:r>
      <w:r w:rsidR="00BB78FF">
        <w:rPr>
          <w:rFonts w:ascii="宋体" w:hAnsi="宋体" w:cs="宋体"/>
          <w:b/>
          <w:bCs/>
          <w:kern w:val="0"/>
          <w:sz w:val="24"/>
        </w:rPr>
        <w:t>02</w:t>
      </w:r>
      <w:r w:rsidR="0057389C">
        <w:rPr>
          <w:rFonts w:ascii="宋体" w:hAnsi="宋体" w:cs="宋体" w:hint="eastAsia"/>
          <w:b/>
          <w:bCs/>
          <w:kern w:val="0"/>
          <w:sz w:val="24"/>
        </w:rPr>
        <w:t>5</w:t>
      </w:r>
      <w:r w:rsidR="00BB78FF">
        <w:rPr>
          <w:rFonts w:ascii="宋体" w:hAnsi="宋体" w:cs="宋体"/>
          <w:b/>
          <w:bCs/>
          <w:kern w:val="0"/>
          <w:sz w:val="24"/>
        </w:rPr>
        <w:t>-00</w:t>
      </w:r>
      <w:r w:rsidR="00BB5BE0">
        <w:rPr>
          <w:rFonts w:ascii="宋体" w:hAnsi="宋体" w:cs="宋体" w:hint="eastAsia"/>
          <w:b/>
          <w:bCs/>
          <w:kern w:val="0"/>
          <w:sz w:val="24"/>
        </w:rPr>
        <w:t>3</w:t>
      </w:r>
    </w:p>
    <w:p w14:paraId="0CF8BEF0" w14:textId="77777777" w:rsidR="00610EB2" w:rsidRPr="0057389C" w:rsidRDefault="00610EB2" w:rsidP="00FA1E64">
      <w:pPr>
        <w:adjustRightInd w:val="0"/>
        <w:snapToGrid w:val="0"/>
        <w:spacing w:line="360" w:lineRule="auto"/>
        <w:rPr>
          <w:rFonts w:ascii="宋体" w:hAnsi="宋体" w:cs="宋体" w:hint="eastAsia"/>
          <w:b/>
          <w:bCs/>
          <w:kern w:val="0"/>
          <w:sz w:val="10"/>
          <w:szCs w:val="10"/>
        </w:rPr>
      </w:pPr>
    </w:p>
    <w:p w14:paraId="3DC1C1E6" w14:textId="77777777" w:rsidR="006816A6" w:rsidRPr="00BB78FF" w:rsidRDefault="00917EA3" w:rsidP="00BB78FF">
      <w:pPr>
        <w:spacing w:line="360" w:lineRule="auto"/>
        <w:jc w:val="center"/>
        <w:rPr>
          <w:rFonts w:ascii="宋体" w:hAnsi="宋体" w:cs="宋体" w:hint="eastAsia"/>
          <w:b/>
          <w:bCs/>
          <w:color w:val="FF0000"/>
          <w:kern w:val="0"/>
          <w:sz w:val="36"/>
          <w:szCs w:val="36"/>
        </w:rPr>
      </w:pPr>
      <w:r w:rsidRPr="00BB78FF">
        <w:rPr>
          <w:rFonts w:ascii="宋体" w:hAnsi="宋体" w:cs="宋体" w:hint="eastAsia"/>
          <w:b/>
          <w:bCs/>
          <w:color w:val="FF0000"/>
          <w:kern w:val="0"/>
          <w:sz w:val="36"/>
          <w:szCs w:val="36"/>
        </w:rPr>
        <w:t>赛恩斯环保</w:t>
      </w:r>
      <w:r w:rsidR="009A6E14" w:rsidRPr="00BB78FF">
        <w:rPr>
          <w:rFonts w:ascii="宋体" w:hAnsi="宋体" w:cs="宋体"/>
          <w:b/>
          <w:bCs/>
          <w:color w:val="FF0000"/>
          <w:kern w:val="0"/>
          <w:sz w:val="36"/>
          <w:szCs w:val="36"/>
        </w:rPr>
        <w:t>股份有限公司</w:t>
      </w:r>
    </w:p>
    <w:p w14:paraId="4D385DAF" w14:textId="489C12B2" w:rsidR="006816A6" w:rsidRPr="00BB78FF" w:rsidRDefault="00917EA3" w:rsidP="00BB78FF">
      <w:pPr>
        <w:spacing w:line="360" w:lineRule="auto"/>
        <w:jc w:val="center"/>
        <w:rPr>
          <w:rFonts w:ascii="宋体" w:hAnsi="宋体" w:cs="宋体" w:hint="eastAsia"/>
          <w:b/>
          <w:bCs/>
          <w:color w:val="FF0000"/>
          <w:kern w:val="0"/>
          <w:sz w:val="36"/>
          <w:szCs w:val="36"/>
        </w:rPr>
      </w:pPr>
      <w:bookmarkStart w:id="3" w:name="OLE_LINK1"/>
      <w:r w:rsidRPr="00BB78FF">
        <w:rPr>
          <w:rFonts w:ascii="宋体" w:hAnsi="宋体" w:cs="宋体"/>
          <w:b/>
          <w:bCs/>
          <w:color w:val="FF0000"/>
          <w:kern w:val="0"/>
          <w:sz w:val="36"/>
          <w:szCs w:val="36"/>
        </w:rPr>
        <w:t>202</w:t>
      </w:r>
      <w:r w:rsidR="0057389C">
        <w:rPr>
          <w:rFonts w:ascii="宋体" w:hAnsi="宋体" w:cs="宋体" w:hint="eastAsia"/>
          <w:b/>
          <w:bCs/>
          <w:color w:val="FF0000"/>
          <w:kern w:val="0"/>
          <w:sz w:val="36"/>
          <w:szCs w:val="36"/>
        </w:rPr>
        <w:t>4</w:t>
      </w:r>
      <w:r w:rsidR="001D5786" w:rsidRPr="00BB78FF">
        <w:rPr>
          <w:rFonts w:ascii="宋体" w:hAnsi="宋体" w:cs="宋体"/>
          <w:b/>
          <w:bCs/>
          <w:color w:val="FF0000"/>
          <w:kern w:val="0"/>
          <w:sz w:val="36"/>
          <w:szCs w:val="36"/>
        </w:rPr>
        <w:t>年度</w:t>
      </w:r>
      <w:r w:rsidR="009A6E14" w:rsidRPr="00BB78FF">
        <w:rPr>
          <w:rFonts w:ascii="宋体" w:hAnsi="宋体" w:cs="宋体"/>
          <w:b/>
          <w:bCs/>
          <w:color w:val="FF0000"/>
          <w:kern w:val="0"/>
          <w:sz w:val="36"/>
          <w:szCs w:val="36"/>
        </w:rPr>
        <w:t>业绩快报公告</w:t>
      </w:r>
    </w:p>
    <w:bookmarkEnd w:id="3"/>
    <w:p w14:paraId="066EE735" w14:textId="77777777" w:rsidR="00030419" w:rsidRPr="0057389C" w:rsidRDefault="00030419" w:rsidP="00FA1E64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6"/>
          <w:szCs w:val="6"/>
        </w:rPr>
      </w:pPr>
    </w:p>
    <w:p w14:paraId="67A88D8E" w14:textId="77777777" w:rsidR="00C82AAE" w:rsidRPr="00BB78FF" w:rsidRDefault="009A6E14" w:rsidP="00FA1E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2"/>
        </w:rPr>
      </w:pPr>
      <w:r w:rsidRPr="00BB78FF">
        <w:rPr>
          <w:rFonts w:ascii="宋体" w:hAnsi="宋体" w:hint="eastAsia"/>
          <w:sz w:val="24"/>
          <w:szCs w:val="22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484B6E5B" w14:textId="77777777" w:rsidR="00E0249D" w:rsidRPr="00BB78FF" w:rsidRDefault="00E0249D" w:rsidP="00FA1E64">
      <w:pPr>
        <w:autoSpaceDE w:val="0"/>
        <w:autoSpaceDN w:val="0"/>
        <w:adjustRightInd w:val="0"/>
        <w:snapToGrid w:val="0"/>
        <w:jc w:val="left"/>
        <w:rPr>
          <w:rFonts w:ascii="宋体" w:hAnsi="宋体" w:hint="eastAsia"/>
          <w:sz w:val="24"/>
        </w:rPr>
      </w:pPr>
    </w:p>
    <w:p w14:paraId="10D576DF" w14:textId="4CE3048C" w:rsidR="001F4CCF" w:rsidRPr="00BB78FF" w:rsidRDefault="009A6E14" w:rsidP="009163E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-WinCharSetFFFF-H" w:hint="eastAsia"/>
          <w:kern w:val="0"/>
          <w:sz w:val="24"/>
        </w:rPr>
      </w:pPr>
      <w:r w:rsidRPr="00BB78FF">
        <w:rPr>
          <w:rFonts w:ascii="宋体" w:hAnsi="宋体" w:cs="宋体-WinCharSetFFFF-H" w:hint="eastAsia"/>
          <w:kern w:val="0"/>
          <w:sz w:val="24"/>
        </w:rPr>
        <w:t>本公告所载</w:t>
      </w:r>
      <w:r w:rsidRPr="00BB78FF">
        <w:rPr>
          <w:rFonts w:ascii="宋体" w:hAnsi="宋体" w:cs="宋体-WinCharSetFFFF-H"/>
          <w:kern w:val="0"/>
          <w:sz w:val="24"/>
        </w:rPr>
        <w:t>20</w:t>
      </w:r>
      <w:r w:rsidR="001D5786" w:rsidRPr="00BB78FF">
        <w:rPr>
          <w:rFonts w:ascii="宋体" w:hAnsi="宋体" w:cs="宋体-WinCharSetFFFF-H"/>
          <w:kern w:val="0"/>
          <w:sz w:val="24"/>
        </w:rPr>
        <w:t>2</w:t>
      </w:r>
      <w:r w:rsidR="0057389C">
        <w:rPr>
          <w:rFonts w:ascii="宋体" w:hAnsi="宋体" w:cs="宋体-WinCharSetFFFF-H" w:hint="eastAsia"/>
          <w:kern w:val="0"/>
          <w:sz w:val="24"/>
        </w:rPr>
        <w:t>4</w:t>
      </w:r>
      <w:r w:rsidRPr="00BB78FF">
        <w:rPr>
          <w:rFonts w:ascii="宋体" w:hAnsi="宋体" w:cs="宋体-WinCharSetFFFF-H"/>
          <w:kern w:val="0"/>
          <w:sz w:val="24"/>
        </w:rPr>
        <w:t>年度</w:t>
      </w:r>
      <w:r w:rsidRPr="00BB78FF">
        <w:rPr>
          <w:rFonts w:ascii="宋体" w:hAnsi="宋体" w:cs="宋体-WinCharSetFFFF-H" w:hint="eastAsia"/>
          <w:kern w:val="0"/>
          <w:sz w:val="24"/>
        </w:rPr>
        <w:t>主要财务数据为初步核算数据，未经会计师事务所审计，具体数据以公司</w:t>
      </w:r>
      <w:r w:rsidRPr="00BB78FF">
        <w:rPr>
          <w:rFonts w:ascii="宋体" w:hAnsi="宋体" w:cs="宋体-WinCharSetFFFF-H"/>
          <w:kern w:val="0"/>
          <w:sz w:val="24"/>
        </w:rPr>
        <w:t>20</w:t>
      </w:r>
      <w:r w:rsidR="001D5786" w:rsidRPr="00BB78FF">
        <w:rPr>
          <w:rFonts w:ascii="宋体" w:hAnsi="宋体" w:cs="宋体-WinCharSetFFFF-H"/>
          <w:kern w:val="0"/>
          <w:sz w:val="24"/>
        </w:rPr>
        <w:t>2</w:t>
      </w:r>
      <w:r w:rsidR="0057389C">
        <w:rPr>
          <w:rFonts w:ascii="宋体" w:hAnsi="宋体" w:cs="宋体-WinCharSetFFFF-H" w:hint="eastAsia"/>
          <w:kern w:val="0"/>
          <w:sz w:val="24"/>
        </w:rPr>
        <w:t>4</w:t>
      </w:r>
      <w:r w:rsidRPr="00BB78FF">
        <w:rPr>
          <w:rFonts w:ascii="宋体" w:hAnsi="宋体" w:cs="宋体-WinCharSetFFFF-H"/>
          <w:kern w:val="0"/>
          <w:sz w:val="24"/>
        </w:rPr>
        <w:t>年</w:t>
      </w:r>
      <w:r w:rsidR="00B876BE">
        <w:rPr>
          <w:rFonts w:ascii="宋体" w:hAnsi="宋体" w:cs="宋体-WinCharSetFFFF-H" w:hint="eastAsia"/>
          <w:kern w:val="0"/>
          <w:sz w:val="24"/>
        </w:rPr>
        <w:t>年度</w:t>
      </w:r>
      <w:r w:rsidRPr="00BB78FF">
        <w:rPr>
          <w:rFonts w:ascii="宋体" w:hAnsi="宋体" w:cs="宋体-WinCharSetFFFF-H" w:hint="eastAsia"/>
          <w:kern w:val="0"/>
          <w:sz w:val="24"/>
        </w:rPr>
        <w:t>报告为准，提请投资者注意投资风险。</w:t>
      </w:r>
    </w:p>
    <w:p w14:paraId="683E0C5F" w14:textId="06EA6650" w:rsidR="006816A6" w:rsidRPr="00BB78FF" w:rsidRDefault="009A6E14" w:rsidP="00BB78FF">
      <w:pPr>
        <w:spacing w:beforeLines="50" w:before="156" w:afterLines="50" w:after="156" w:line="360" w:lineRule="auto"/>
        <w:ind w:firstLineChars="200" w:firstLine="482"/>
        <w:outlineLvl w:val="0"/>
        <w:rPr>
          <w:rFonts w:ascii="宋体" w:hAnsi="宋体" w:cs="宋体" w:hint="eastAsia"/>
          <w:b/>
          <w:color w:val="000000"/>
          <w:kern w:val="0"/>
          <w:sz w:val="24"/>
        </w:rPr>
      </w:pPr>
      <w:r w:rsidRPr="00BB78FF">
        <w:rPr>
          <w:rFonts w:ascii="宋体" w:hAnsi="宋体" w:cs="宋体" w:hint="eastAsia"/>
          <w:b/>
          <w:color w:val="000000"/>
          <w:kern w:val="0"/>
          <w:sz w:val="24"/>
        </w:rPr>
        <w:t>一、</w:t>
      </w:r>
      <w:r w:rsidRPr="00BB78FF">
        <w:rPr>
          <w:rFonts w:ascii="宋体" w:hAnsi="宋体" w:cs="宋体"/>
          <w:b/>
          <w:color w:val="000000"/>
          <w:kern w:val="0"/>
          <w:sz w:val="24"/>
        </w:rPr>
        <w:t>20</w:t>
      </w:r>
      <w:r w:rsidR="001D5786" w:rsidRPr="00BB78FF">
        <w:rPr>
          <w:rFonts w:ascii="宋体" w:hAnsi="宋体" w:cs="宋体"/>
          <w:b/>
          <w:color w:val="000000"/>
          <w:kern w:val="0"/>
          <w:sz w:val="24"/>
        </w:rPr>
        <w:t>2</w:t>
      </w:r>
      <w:r w:rsidR="00BB5BE0">
        <w:rPr>
          <w:rFonts w:ascii="宋体" w:hAnsi="宋体" w:cs="宋体" w:hint="eastAsia"/>
          <w:b/>
          <w:color w:val="000000"/>
          <w:kern w:val="0"/>
          <w:sz w:val="24"/>
        </w:rPr>
        <w:t>4</w:t>
      </w:r>
      <w:r w:rsidRPr="00BB78FF">
        <w:rPr>
          <w:rFonts w:ascii="宋体" w:hAnsi="宋体" w:cs="宋体"/>
          <w:b/>
          <w:color w:val="000000"/>
          <w:kern w:val="0"/>
          <w:sz w:val="24"/>
        </w:rPr>
        <w:t>年度主要财务数据和指标</w:t>
      </w:r>
    </w:p>
    <w:p w14:paraId="2F6D7DAB" w14:textId="67F73D03" w:rsidR="00E0249D" w:rsidRPr="00BB78FF" w:rsidRDefault="009A6E14" w:rsidP="0057389C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  <w:r w:rsidRPr="00BB78FF">
        <w:rPr>
          <w:rFonts w:ascii="宋体" w:hAnsi="宋体" w:cs="宋体" w:hint="eastAsia"/>
          <w:kern w:val="0"/>
          <w:sz w:val="24"/>
        </w:rPr>
        <w:t>单位：</w:t>
      </w:r>
      <w:r w:rsidR="00216EFC">
        <w:rPr>
          <w:rFonts w:ascii="宋体" w:hAnsi="宋体" w:cs="宋体" w:hint="eastAsia"/>
          <w:kern w:val="0"/>
          <w:sz w:val="24"/>
        </w:rPr>
        <w:t>人民币</w:t>
      </w:r>
      <w:r w:rsidR="001D5786" w:rsidRPr="00BB78FF">
        <w:rPr>
          <w:rFonts w:ascii="宋体" w:hAnsi="宋体" w:cs="宋体" w:hint="eastAsia"/>
          <w:kern w:val="0"/>
          <w:sz w:val="24"/>
        </w:rPr>
        <w:t>万元</w:t>
      </w:r>
      <w:r w:rsidR="00216EFC">
        <w:rPr>
          <w:rFonts w:ascii="宋体" w:hAnsi="宋体" w:cs="宋体" w:hint="eastAsia"/>
          <w:kern w:val="0"/>
          <w:sz w:val="24"/>
        </w:rPr>
        <w:t>、万股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560"/>
        <w:gridCol w:w="1701"/>
        <w:gridCol w:w="1701"/>
      </w:tblGrid>
      <w:tr w:rsidR="00591D79" w:rsidRPr="00BB78FF" w14:paraId="6D294111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7AC4D8" w14:textId="77777777" w:rsidR="00E0249D" w:rsidRPr="009F4E23" w:rsidRDefault="009A6E14" w:rsidP="00BB78FF">
            <w:pPr>
              <w:ind w:firstLineChars="50" w:firstLine="12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DE3D06" w14:textId="77777777" w:rsidR="00E0249D" w:rsidRPr="009F4E23" w:rsidRDefault="009A6E14" w:rsidP="00591D79">
            <w:pPr>
              <w:ind w:firstLineChars="14" w:firstLine="34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本报告期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D815FA" w14:textId="77777777" w:rsidR="00E0249D" w:rsidRPr="009F4E23" w:rsidRDefault="009A6E14" w:rsidP="00BB78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上年同期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CFE8F8" w14:textId="77777777" w:rsidR="00274F4C" w:rsidRPr="009F4E23" w:rsidRDefault="009A6E14" w:rsidP="00591D79">
            <w:pPr>
              <w:ind w:leftChars="-47" w:rightChars="13" w:right="27" w:hangingChars="41" w:hanging="99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增减变动幅度（％）</w:t>
            </w:r>
          </w:p>
        </w:tc>
      </w:tr>
      <w:tr w:rsidR="000F443F" w:rsidRPr="00BB78FF" w14:paraId="0D2D300A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B2143F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营业总收入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474" w14:textId="06951F73" w:rsidR="000F443F" w:rsidRPr="00BB78FF" w:rsidRDefault="00AE5FF3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2</w:t>
            </w:r>
            <w:r w:rsidR="00E9188D"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760.95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E1BD" w14:textId="3DEA87FE" w:rsidR="000F443F" w:rsidRPr="00BB78FF" w:rsidRDefault="00AE5FF3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  <w:r w:rsidR="00E9188D"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840.5</w:t>
            </w:r>
            <w:r w:rsidR="00E9188D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334" w14:textId="5E0E9F05" w:rsidR="000F443F" w:rsidRPr="00BB78FF" w:rsidRDefault="00AE5FF3" w:rsidP="00E9188D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4.75</w:t>
            </w:r>
          </w:p>
        </w:tc>
      </w:tr>
      <w:tr w:rsidR="000F443F" w:rsidRPr="00BB78FF" w14:paraId="28D6C8EC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98A390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营业利润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A12" w14:textId="21E41FD3" w:rsidR="000F443F" w:rsidRPr="00BB78FF" w:rsidRDefault="00AE5FF3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 w:rsidR="00E9188D"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042.34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533" w14:textId="696FEC32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,938.39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2C5D" w14:textId="71F760D9" w:rsidR="000F443F" w:rsidRPr="00BB78FF" w:rsidRDefault="00E9188D" w:rsidP="00E9188D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01.67</w:t>
            </w:r>
          </w:p>
        </w:tc>
      </w:tr>
      <w:tr w:rsidR="000F443F" w:rsidRPr="00BB78FF" w14:paraId="49A5EA03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E6D71B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AAF" w14:textId="47A59919" w:rsidR="000F443F" w:rsidRPr="00BB78FF" w:rsidRDefault="00AE5FF3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  <w:r w:rsidR="00E9188D"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860.16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E0A5" w14:textId="05C51A9A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0,257.05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A90" w14:textId="3A4B6376" w:rsidR="000F443F" w:rsidRPr="00BB78FF" w:rsidRDefault="00E9188D" w:rsidP="00E9188D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03.37</w:t>
            </w:r>
          </w:p>
        </w:tc>
      </w:tr>
      <w:tr w:rsidR="000F443F" w:rsidRPr="00BB78FF" w14:paraId="6E2485BB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0F5BAA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归属于母公司所有者的净利润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C26" w14:textId="36EF3DCF" w:rsidR="000F443F" w:rsidRPr="00BB78FF" w:rsidRDefault="00AE5FF3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</w:t>
            </w:r>
            <w:r w:rsidR="00E9188D"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122.88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D28" w14:textId="759A30A7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,032.79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8B9" w14:textId="79337ECE" w:rsidR="000F443F" w:rsidRPr="00BB78FF" w:rsidRDefault="00E9188D" w:rsidP="00E9188D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11.71</w:t>
            </w:r>
          </w:p>
        </w:tc>
      </w:tr>
      <w:tr w:rsidR="000F443F" w:rsidRPr="00BB78FF" w14:paraId="3A24F7B5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2B3D70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归属于母公司所有者的扣除非经常性损益的净利润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7BF" w14:textId="1322ECFE" w:rsidR="000F443F" w:rsidRPr="00BB78FF" w:rsidRDefault="00AE5FF3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  <w:r w:rsidR="00E9188D"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/>
                <w:sz w:val="24"/>
              </w:rPr>
              <w:t>788.92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EDDB" w14:textId="3749650A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,528.17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D1BB" w14:textId="06E1A950" w:rsidR="000F443F" w:rsidRPr="00BB78FF" w:rsidRDefault="00E9188D" w:rsidP="00E9188D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6.60</w:t>
            </w:r>
          </w:p>
        </w:tc>
      </w:tr>
      <w:tr w:rsidR="000F443F" w:rsidRPr="00BB78FF" w14:paraId="3946B1B3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3FAF80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基本每股收益（元）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5B0" w14:textId="6C0BC44C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6FA7" w14:textId="49367C26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4C8" w14:textId="2A4A7C73" w:rsidR="000F443F" w:rsidRPr="00BB78FF" w:rsidRDefault="00E9188D" w:rsidP="00E9188D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11.58</w:t>
            </w:r>
          </w:p>
        </w:tc>
      </w:tr>
      <w:tr w:rsidR="000F443F" w:rsidRPr="00BB78FF" w14:paraId="01997292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C0015" w14:textId="260E808A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加权平均净资产收益率</w:t>
            </w:r>
            <w:r>
              <w:rPr>
                <w:rFonts w:ascii="宋体" w:hAnsi="宋体" w:hint="eastAsia"/>
                <w:sz w:val="24"/>
              </w:rPr>
              <w:t>（%）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097" w14:textId="345D9F91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71B" w14:textId="16D37744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8DC5" w14:textId="00E36957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增加8</w:t>
            </w:r>
            <w:r>
              <w:rPr>
                <w:rFonts w:ascii="宋体" w:hAnsi="宋体"/>
                <w:sz w:val="24"/>
              </w:rPr>
              <w:t>.54</w:t>
            </w:r>
            <w:r>
              <w:rPr>
                <w:rFonts w:ascii="宋体" w:hAnsi="宋体" w:hint="eastAsia"/>
                <w:sz w:val="24"/>
              </w:rPr>
              <w:t>个百分点</w:t>
            </w:r>
          </w:p>
        </w:tc>
      </w:tr>
      <w:tr w:rsidR="00591D79" w:rsidRPr="00BB78FF" w14:paraId="27CC24B2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CD00C2" w14:textId="77777777" w:rsidR="008D3D22" w:rsidRPr="009F4E23" w:rsidRDefault="009F4E23" w:rsidP="00B1000C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A31BBF" w14:textId="77777777" w:rsidR="008D3D22" w:rsidRPr="009F4E23" w:rsidRDefault="008D3D22" w:rsidP="00591D79">
            <w:pPr>
              <w:ind w:leftChars="-50" w:left="1" w:hangingChars="44" w:hanging="10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本报告期末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6C4AC6" w14:textId="77777777" w:rsidR="008D3D22" w:rsidRPr="009F4E23" w:rsidRDefault="008D3D22" w:rsidP="00BB78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本报告期初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7D6659" w14:textId="77777777" w:rsidR="008D3D22" w:rsidRPr="009F4E23" w:rsidRDefault="008D3D22" w:rsidP="00BB78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9F4E23">
              <w:rPr>
                <w:rFonts w:ascii="宋体" w:hAnsi="宋体" w:hint="eastAsia"/>
                <w:b/>
                <w:bCs/>
                <w:sz w:val="24"/>
              </w:rPr>
              <w:t>增减变动幅度（％）</w:t>
            </w:r>
          </w:p>
        </w:tc>
      </w:tr>
      <w:tr w:rsidR="000F443F" w:rsidRPr="00BB78FF" w14:paraId="7930F78C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89BA0" w14:textId="0EEC6315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bookmarkStart w:id="4" w:name="_Hlk190882437"/>
            <w:r w:rsidRPr="00BB78FF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3699" w14:textId="15B5F98A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81,568.96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D86" w14:textId="5F462A23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49,301.84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BB28" w14:textId="6AC928CD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1.61</w:t>
            </w:r>
          </w:p>
        </w:tc>
      </w:tr>
      <w:tr w:rsidR="000F443F" w:rsidRPr="00BB78FF" w14:paraId="6CE857BC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95A62D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归属于母公司的所有者权益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0FB" w14:textId="0132F2DC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08,102.59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E7D" w14:textId="21CB7498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3,179.31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48D1" w14:textId="193B976B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6.02</w:t>
            </w:r>
          </w:p>
        </w:tc>
      </w:tr>
      <w:tr w:rsidR="000F443F" w:rsidRPr="00BB78FF" w14:paraId="01A59BB5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7AB106" w14:textId="1DA1D966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股本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F20C" w14:textId="1A9B9F97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,532.62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790B" w14:textId="68564CEF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9,482.67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8E2A" w14:textId="7AC05CD1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.53</w:t>
            </w:r>
          </w:p>
        </w:tc>
      </w:tr>
      <w:tr w:rsidR="000F443F" w:rsidRPr="00355DAC" w14:paraId="05E44EA0" w14:textId="77777777" w:rsidTr="00BB5BE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5315F1" w14:textId="77777777" w:rsidR="000F443F" w:rsidRPr="00BB78FF" w:rsidRDefault="000F443F" w:rsidP="000F443F">
            <w:pPr>
              <w:jc w:val="center"/>
              <w:rPr>
                <w:rFonts w:ascii="宋体" w:hAnsi="宋体" w:hint="eastAsia"/>
                <w:sz w:val="24"/>
              </w:rPr>
            </w:pPr>
            <w:r w:rsidRPr="00BB78FF">
              <w:rPr>
                <w:rFonts w:ascii="宋体" w:hAnsi="宋体" w:hint="eastAsia"/>
                <w:sz w:val="24"/>
              </w:rPr>
              <w:t>归属于母公司所有者的每股净资产（元）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9852" w14:textId="499CC389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198" w14:textId="1A20884A" w:rsidR="000F443F" w:rsidRPr="00BB78FF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69B7" w14:textId="3ED513D5" w:rsidR="000F443F" w:rsidRPr="00355DAC" w:rsidRDefault="00E9188D" w:rsidP="000F443F">
            <w:pPr>
              <w:jc w:val="right"/>
              <w:rPr>
                <w:rFonts w:ascii="宋体" w:hAnsi="宋体" w:hint="eastAsia"/>
                <w:sz w:val="24"/>
              </w:rPr>
            </w:pPr>
            <w:r w:rsidRPr="00355DAC">
              <w:rPr>
                <w:rFonts w:ascii="宋体" w:hAnsi="宋体" w:hint="eastAsia"/>
                <w:sz w:val="24"/>
              </w:rPr>
              <w:t>1</w:t>
            </w:r>
            <w:r w:rsidR="00C90189" w:rsidRPr="00355DAC">
              <w:rPr>
                <w:rFonts w:ascii="宋体" w:hAnsi="宋体"/>
                <w:sz w:val="24"/>
              </w:rPr>
              <w:t>5.36</w:t>
            </w:r>
          </w:p>
        </w:tc>
      </w:tr>
    </w:tbl>
    <w:bookmarkEnd w:id="4"/>
    <w:p w14:paraId="22A90BFF" w14:textId="77777777" w:rsidR="00E0249D" w:rsidRPr="00216EFC" w:rsidRDefault="009A6E14" w:rsidP="00216EFC">
      <w:pPr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216EFC">
        <w:rPr>
          <w:rFonts w:ascii="宋体" w:hAnsi="宋体" w:cs="宋体"/>
          <w:kern w:val="0"/>
          <w:sz w:val="18"/>
          <w:szCs w:val="18"/>
        </w:rPr>
        <w:t>注：1</w:t>
      </w:r>
      <w:r w:rsidR="00E60C3F" w:rsidRPr="00216EFC">
        <w:rPr>
          <w:rFonts w:ascii="宋体" w:hAnsi="宋体" w:cs="宋体" w:hint="eastAsia"/>
          <w:kern w:val="0"/>
          <w:sz w:val="18"/>
          <w:szCs w:val="18"/>
        </w:rPr>
        <w:t>.</w:t>
      </w:r>
      <w:r w:rsidRPr="00216EFC">
        <w:rPr>
          <w:rFonts w:ascii="宋体" w:hAnsi="宋体" w:cs="宋体"/>
          <w:kern w:val="0"/>
          <w:sz w:val="18"/>
          <w:szCs w:val="18"/>
        </w:rPr>
        <w:t>本报告期初数同法定披露的上年年末数。</w:t>
      </w:r>
    </w:p>
    <w:p w14:paraId="27900550" w14:textId="7921636F" w:rsidR="00216EFC" w:rsidRPr="00216EFC" w:rsidRDefault="009A6E14" w:rsidP="00216EFC">
      <w:pPr>
        <w:ind w:firstLineChars="200" w:firstLine="360"/>
        <w:jc w:val="left"/>
        <w:rPr>
          <w:rFonts w:ascii="宋体" w:hAnsi="宋体" w:hint="eastAsia"/>
          <w:sz w:val="18"/>
          <w:szCs w:val="18"/>
        </w:rPr>
      </w:pPr>
      <w:r w:rsidRPr="00216EFC">
        <w:rPr>
          <w:rFonts w:ascii="宋体" w:hAnsi="宋体" w:cs="宋体"/>
          <w:kern w:val="0"/>
          <w:sz w:val="18"/>
          <w:szCs w:val="18"/>
        </w:rPr>
        <w:t>2</w:t>
      </w:r>
      <w:r w:rsidR="00E60C3F" w:rsidRPr="00216EFC">
        <w:rPr>
          <w:rFonts w:ascii="宋体" w:hAnsi="宋体" w:cs="宋体" w:hint="eastAsia"/>
          <w:kern w:val="0"/>
          <w:sz w:val="18"/>
          <w:szCs w:val="18"/>
        </w:rPr>
        <w:t>.</w:t>
      </w:r>
      <w:r w:rsidR="00216EFC" w:rsidRPr="00216EFC">
        <w:rPr>
          <w:rFonts w:ascii="宋体" w:hAnsi="宋体" w:hint="eastAsia"/>
          <w:sz w:val="18"/>
          <w:szCs w:val="18"/>
        </w:rPr>
        <w:t>以上数据以合并报表数据填制，但未经审计，最终结果以公司202</w:t>
      </w:r>
      <w:r w:rsidR="0057389C">
        <w:rPr>
          <w:rFonts w:ascii="宋体" w:hAnsi="宋体" w:hint="eastAsia"/>
          <w:sz w:val="18"/>
          <w:szCs w:val="18"/>
        </w:rPr>
        <w:t>4</w:t>
      </w:r>
      <w:r w:rsidR="00216EFC" w:rsidRPr="00216EFC">
        <w:rPr>
          <w:rFonts w:ascii="宋体" w:hAnsi="宋体" w:hint="eastAsia"/>
          <w:sz w:val="18"/>
          <w:szCs w:val="18"/>
        </w:rPr>
        <w:t>年年度报告数据为准。</w:t>
      </w:r>
    </w:p>
    <w:p w14:paraId="6767B965" w14:textId="600B9E42" w:rsidR="00216EFC" w:rsidRPr="00216EFC" w:rsidRDefault="00216EFC" w:rsidP="00216EFC">
      <w:pPr>
        <w:ind w:firstLineChars="200" w:firstLine="360"/>
        <w:jc w:val="left"/>
        <w:rPr>
          <w:rFonts w:ascii="宋体" w:hAnsi="宋体" w:hint="eastAsia"/>
          <w:sz w:val="18"/>
          <w:szCs w:val="18"/>
        </w:rPr>
      </w:pPr>
      <w:r w:rsidRPr="00216EFC">
        <w:rPr>
          <w:rFonts w:ascii="宋体" w:hAnsi="宋体" w:hint="eastAsia"/>
          <w:sz w:val="18"/>
          <w:szCs w:val="18"/>
        </w:rPr>
        <w:t>3.以上增减变动幅度数据如有尾差，是由四舍五入所</w:t>
      </w:r>
      <w:r w:rsidR="0028661C">
        <w:rPr>
          <w:rFonts w:ascii="宋体" w:hAnsi="宋体" w:hint="eastAsia"/>
          <w:sz w:val="18"/>
          <w:szCs w:val="18"/>
        </w:rPr>
        <w:t>致</w:t>
      </w:r>
      <w:r w:rsidRPr="00216EFC">
        <w:rPr>
          <w:rFonts w:ascii="宋体" w:hAnsi="宋体" w:hint="eastAsia"/>
          <w:sz w:val="18"/>
          <w:szCs w:val="18"/>
        </w:rPr>
        <w:t>。</w:t>
      </w:r>
    </w:p>
    <w:p w14:paraId="44E5668B" w14:textId="1C363A4F" w:rsidR="006816A6" w:rsidRPr="00BB78FF" w:rsidRDefault="009A6E14" w:rsidP="00216EFC">
      <w:pPr>
        <w:spacing w:beforeLines="50" w:before="156" w:afterLines="50" w:after="156" w:line="360" w:lineRule="auto"/>
        <w:ind w:firstLineChars="200" w:firstLine="482"/>
        <w:outlineLvl w:val="0"/>
        <w:rPr>
          <w:rFonts w:ascii="宋体" w:hAnsi="宋体" w:cs="宋体" w:hint="eastAsia"/>
          <w:b/>
          <w:color w:val="000000"/>
          <w:kern w:val="0"/>
          <w:sz w:val="24"/>
        </w:rPr>
      </w:pPr>
      <w:r w:rsidRPr="00BB78FF">
        <w:rPr>
          <w:rFonts w:ascii="宋体" w:hAnsi="宋体" w:cs="宋体" w:hint="eastAsia"/>
          <w:b/>
          <w:color w:val="000000"/>
          <w:kern w:val="0"/>
          <w:sz w:val="24"/>
        </w:rPr>
        <w:t>二、经营业绩和财务状况情况说明</w:t>
      </w:r>
    </w:p>
    <w:p w14:paraId="2F9BB452" w14:textId="77777777" w:rsidR="00E3570B" w:rsidRPr="00BB78FF" w:rsidRDefault="009A6E14" w:rsidP="00BB78FF">
      <w:pPr>
        <w:widowControl/>
        <w:spacing w:line="360" w:lineRule="auto"/>
        <w:ind w:firstLineChars="200" w:firstLine="482"/>
        <w:outlineLvl w:val="1"/>
        <w:rPr>
          <w:rFonts w:ascii="宋体" w:hAnsi="宋体" w:cs="宋体" w:hint="eastAsia"/>
          <w:b/>
          <w:color w:val="000000"/>
          <w:kern w:val="0"/>
          <w:sz w:val="24"/>
        </w:rPr>
      </w:pPr>
      <w:r w:rsidRPr="00BB78FF">
        <w:rPr>
          <w:rFonts w:ascii="宋体" w:hAnsi="宋体" w:cs="宋体" w:hint="eastAsia"/>
          <w:b/>
          <w:color w:val="000000"/>
          <w:kern w:val="0"/>
          <w:sz w:val="24"/>
        </w:rPr>
        <w:t>（一）报告期的经营情况、财务状况</w:t>
      </w:r>
      <w:r w:rsidR="00032161" w:rsidRPr="00BB78FF">
        <w:rPr>
          <w:rFonts w:ascii="宋体" w:hAnsi="宋体" w:cs="宋体"/>
          <w:b/>
          <w:color w:val="000000"/>
          <w:kern w:val="0"/>
          <w:sz w:val="24"/>
        </w:rPr>
        <w:t>及影响经营业绩的主要因素</w:t>
      </w:r>
    </w:p>
    <w:p w14:paraId="03616EC2" w14:textId="77777777" w:rsidR="00032161" w:rsidRPr="00FA1E64" w:rsidRDefault="00032161" w:rsidP="00BB78FF">
      <w:pPr>
        <w:widowControl/>
        <w:spacing w:line="360" w:lineRule="auto"/>
        <w:ind w:firstLineChars="200" w:firstLine="480"/>
        <w:outlineLvl w:val="2"/>
        <w:rPr>
          <w:rFonts w:ascii="宋体" w:hAnsi="宋体" w:cs="宋体" w:hint="eastAsia"/>
          <w:color w:val="000000"/>
          <w:kern w:val="0"/>
          <w:sz w:val="24"/>
        </w:rPr>
      </w:pPr>
      <w:r w:rsidRPr="00FA1E64">
        <w:rPr>
          <w:rFonts w:ascii="宋体" w:hAnsi="宋体" w:cs="宋体" w:hint="eastAsia"/>
          <w:color w:val="000000"/>
          <w:kern w:val="0"/>
          <w:sz w:val="24"/>
        </w:rPr>
        <w:t>1、报告期的经营情况、财务状况</w:t>
      </w:r>
    </w:p>
    <w:p w14:paraId="4BE2A819" w14:textId="5B5BD4D6" w:rsidR="00E3570B" w:rsidRPr="00BB78FF" w:rsidRDefault="00691C14" w:rsidP="00370CF2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BB78FF">
        <w:rPr>
          <w:rFonts w:ascii="宋体" w:hAnsi="宋体" w:cs="宋体" w:hint="eastAsia"/>
          <w:color w:val="000000"/>
          <w:kern w:val="0"/>
          <w:sz w:val="24"/>
        </w:rPr>
        <w:lastRenderedPageBreak/>
        <w:t>报告期内</w:t>
      </w:r>
      <w:r w:rsidR="006675D2" w:rsidRPr="00BB78FF">
        <w:rPr>
          <w:rFonts w:ascii="宋体" w:hAnsi="宋体" w:cs="宋体"/>
          <w:color w:val="000000"/>
          <w:kern w:val="0"/>
          <w:sz w:val="24"/>
        </w:rPr>
        <w:t>公司实现营业收入</w:t>
      </w:r>
      <w:r w:rsidR="00E9188D">
        <w:rPr>
          <w:rFonts w:ascii="宋体" w:hAnsi="宋体" w:hint="eastAsia"/>
          <w:sz w:val="24"/>
        </w:rPr>
        <w:t>9</w:t>
      </w:r>
      <w:r w:rsidR="00E9188D">
        <w:rPr>
          <w:rFonts w:ascii="宋体" w:hAnsi="宋体"/>
          <w:sz w:val="24"/>
        </w:rPr>
        <w:t>2,760.95</w:t>
      </w:r>
      <w:r w:rsidR="00E3570B" w:rsidRPr="00BB78FF">
        <w:rPr>
          <w:rFonts w:ascii="宋体" w:hAnsi="宋体" w:cs="宋体"/>
          <w:color w:val="000000"/>
          <w:kern w:val="0"/>
          <w:sz w:val="24"/>
        </w:rPr>
        <w:t>万元，同比增长</w:t>
      </w:r>
      <w:r w:rsidR="00E9188D">
        <w:rPr>
          <w:rFonts w:ascii="宋体" w:hAnsi="宋体" w:cs="宋体" w:hint="eastAsia"/>
          <w:color w:val="000000"/>
          <w:kern w:val="0"/>
          <w:sz w:val="24"/>
        </w:rPr>
        <w:t>1</w:t>
      </w:r>
      <w:r w:rsidR="00E9188D">
        <w:rPr>
          <w:rFonts w:ascii="宋体" w:hAnsi="宋体" w:cs="宋体"/>
          <w:color w:val="000000"/>
          <w:kern w:val="0"/>
          <w:sz w:val="24"/>
        </w:rPr>
        <w:t>4.75</w:t>
      </w:r>
      <w:r w:rsidR="00E3570B" w:rsidRPr="00BB78FF">
        <w:rPr>
          <w:rFonts w:ascii="宋体" w:hAnsi="宋体" w:cs="宋体"/>
          <w:color w:val="000000"/>
          <w:kern w:val="0"/>
          <w:sz w:val="24"/>
        </w:rPr>
        <w:t>%；实现归属于母公司所有者的净利润</w:t>
      </w:r>
      <w:r w:rsidR="00E9188D">
        <w:rPr>
          <w:rFonts w:ascii="宋体" w:hAnsi="宋体" w:hint="eastAsia"/>
          <w:sz w:val="24"/>
        </w:rPr>
        <w:t>1</w:t>
      </w:r>
      <w:r w:rsidR="00E9188D">
        <w:rPr>
          <w:rFonts w:ascii="宋体" w:hAnsi="宋体"/>
          <w:sz w:val="24"/>
        </w:rPr>
        <w:t>9,122.88</w:t>
      </w:r>
      <w:r w:rsidR="00E3570B" w:rsidRPr="00BB78FF">
        <w:rPr>
          <w:rFonts w:ascii="宋体" w:hAnsi="宋体" w:cs="宋体"/>
          <w:color w:val="000000"/>
          <w:kern w:val="0"/>
          <w:sz w:val="24"/>
        </w:rPr>
        <w:t>万元，同比</w:t>
      </w:r>
      <w:r w:rsidR="00F3673B" w:rsidRPr="00BB78FF">
        <w:rPr>
          <w:rFonts w:ascii="宋体" w:hAnsi="宋体" w:cs="宋体"/>
          <w:color w:val="000000"/>
          <w:kern w:val="0"/>
          <w:sz w:val="24"/>
        </w:rPr>
        <w:t>增长</w:t>
      </w:r>
      <w:r w:rsidR="00E9188D">
        <w:rPr>
          <w:rFonts w:ascii="宋体" w:hAnsi="宋体" w:cs="宋体" w:hint="eastAsia"/>
          <w:color w:val="000000"/>
          <w:kern w:val="0"/>
          <w:sz w:val="24"/>
        </w:rPr>
        <w:t>1</w:t>
      </w:r>
      <w:r w:rsidR="00E9188D">
        <w:rPr>
          <w:rFonts w:ascii="宋体" w:hAnsi="宋体" w:cs="宋体"/>
          <w:color w:val="000000"/>
          <w:kern w:val="0"/>
          <w:sz w:val="24"/>
        </w:rPr>
        <w:t>11.71</w:t>
      </w:r>
      <w:r w:rsidR="00E3570B" w:rsidRPr="00BB78FF">
        <w:rPr>
          <w:rFonts w:ascii="宋体" w:hAnsi="宋体" w:cs="宋体"/>
          <w:color w:val="000000"/>
          <w:kern w:val="0"/>
          <w:sz w:val="24"/>
        </w:rPr>
        <w:t>%；实现归属于母公司所有者的扣除非经常性损益的净利润</w:t>
      </w:r>
      <w:r w:rsidR="00E9188D">
        <w:rPr>
          <w:rFonts w:ascii="宋体" w:hAnsi="宋体" w:hint="eastAsia"/>
          <w:sz w:val="24"/>
        </w:rPr>
        <w:t>1</w:t>
      </w:r>
      <w:r w:rsidR="00E9188D">
        <w:rPr>
          <w:rFonts w:ascii="宋体" w:hAnsi="宋体"/>
          <w:sz w:val="24"/>
        </w:rPr>
        <w:t>1,788.92</w:t>
      </w:r>
      <w:r w:rsidR="00E3570B" w:rsidRPr="00BB78FF">
        <w:rPr>
          <w:rFonts w:ascii="宋体" w:hAnsi="宋体" w:cs="宋体"/>
          <w:color w:val="000000"/>
          <w:kern w:val="0"/>
          <w:sz w:val="24"/>
        </w:rPr>
        <w:t>万元，同比增长</w:t>
      </w:r>
      <w:r w:rsidR="00E9188D">
        <w:rPr>
          <w:rFonts w:ascii="宋体" w:hAnsi="宋体" w:cs="宋体" w:hint="eastAsia"/>
          <w:color w:val="000000"/>
          <w:kern w:val="0"/>
          <w:sz w:val="24"/>
        </w:rPr>
        <w:t>5</w:t>
      </w:r>
      <w:r w:rsidR="00E9188D">
        <w:rPr>
          <w:rFonts w:ascii="宋体" w:hAnsi="宋体" w:cs="宋体"/>
          <w:color w:val="000000"/>
          <w:kern w:val="0"/>
          <w:sz w:val="24"/>
        </w:rPr>
        <w:t>6.60</w:t>
      </w:r>
      <w:r w:rsidR="00E3570B" w:rsidRPr="00BB78FF">
        <w:rPr>
          <w:rFonts w:ascii="宋体" w:hAnsi="宋体" w:cs="宋体"/>
          <w:color w:val="000000"/>
          <w:kern w:val="0"/>
          <w:sz w:val="24"/>
        </w:rPr>
        <w:t>%。</w:t>
      </w:r>
    </w:p>
    <w:p w14:paraId="51579395" w14:textId="32BEFF43" w:rsidR="00E3570B" w:rsidRPr="00BB78FF" w:rsidRDefault="00E3570B" w:rsidP="00370CF2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BB78FF">
        <w:rPr>
          <w:rFonts w:ascii="宋体" w:hAnsi="宋体" w:cs="宋体"/>
          <w:color w:val="000000"/>
          <w:kern w:val="0"/>
          <w:sz w:val="24"/>
        </w:rPr>
        <w:t>报告期末，公司总资产</w:t>
      </w:r>
      <w:r w:rsidR="00E9188D">
        <w:rPr>
          <w:rFonts w:ascii="宋体" w:hAnsi="宋体" w:hint="eastAsia"/>
          <w:sz w:val="24"/>
        </w:rPr>
        <w:t>1</w:t>
      </w:r>
      <w:r w:rsidR="00E9188D">
        <w:rPr>
          <w:rFonts w:ascii="宋体" w:hAnsi="宋体"/>
          <w:sz w:val="24"/>
        </w:rPr>
        <w:t>81,568.96</w:t>
      </w:r>
      <w:r w:rsidR="00691C14" w:rsidRPr="00BB78FF">
        <w:rPr>
          <w:rFonts w:ascii="宋体" w:hAnsi="宋体" w:cs="宋体"/>
          <w:color w:val="000000"/>
          <w:kern w:val="0"/>
          <w:sz w:val="24"/>
        </w:rPr>
        <w:t>万元，</w:t>
      </w:r>
      <w:proofErr w:type="gramStart"/>
      <w:r w:rsidR="00691C14" w:rsidRPr="00BB78FF">
        <w:rPr>
          <w:rFonts w:ascii="宋体" w:hAnsi="宋体" w:cs="宋体"/>
          <w:color w:val="000000"/>
          <w:kern w:val="0"/>
          <w:sz w:val="24"/>
        </w:rPr>
        <w:t>较报告</w:t>
      </w:r>
      <w:proofErr w:type="gramEnd"/>
      <w:r w:rsidR="00691C14" w:rsidRPr="00BB78FF">
        <w:rPr>
          <w:rFonts w:ascii="宋体" w:hAnsi="宋体" w:cs="宋体"/>
          <w:color w:val="000000"/>
          <w:kern w:val="0"/>
          <w:sz w:val="24"/>
        </w:rPr>
        <w:t>期初增长</w:t>
      </w:r>
      <w:r w:rsidR="00E9188D">
        <w:rPr>
          <w:rFonts w:ascii="宋体" w:hAnsi="宋体" w:cs="宋体" w:hint="eastAsia"/>
          <w:color w:val="000000"/>
          <w:kern w:val="0"/>
          <w:sz w:val="24"/>
        </w:rPr>
        <w:t>2</w:t>
      </w:r>
      <w:r w:rsidR="00E9188D">
        <w:rPr>
          <w:rFonts w:ascii="宋体" w:hAnsi="宋体" w:cs="宋体"/>
          <w:color w:val="000000"/>
          <w:kern w:val="0"/>
          <w:sz w:val="24"/>
        </w:rPr>
        <w:t>1.61</w:t>
      </w:r>
      <w:r w:rsidRPr="00BB78FF">
        <w:rPr>
          <w:rFonts w:ascii="宋体" w:hAnsi="宋体" w:cs="宋体"/>
          <w:color w:val="000000"/>
          <w:kern w:val="0"/>
          <w:sz w:val="24"/>
        </w:rPr>
        <w:t>%；归属于母公司的所有者权益</w:t>
      </w:r>
      <w:r w:rsidR="00E9188D">
        <w:rPr>
          <w:rFonts w:ascii="宋体" w:hAnsi="宋体" w:hint="eastAsia"/>
          <w:sz w:val="24"/>
        </w:rPr>
        <w:t>1</w:t>
      </w:r>
      <w:r w:rsidR="00E9188D">
        <w:rPr>
          <w:rFonts w:ascii="宋体" w:hAnsi="宋体"/>
          <w:sz w:val="24"/>
        </w:rPr>
        <w:t>08,102.59</w:t>
      </w:r>
      <w:r w:rsidR="00691C14" w:rsidRPr="00BB78FF">
        <w:rPr>
          <w:rFonts w:ascii="宋体" w:hAnsi="宋体" w:cs="宋体"/>
          <w:color w:val="000000"/>
          <w:kern w:val="0"/>
          <w:sz w:val="24"/>
        </w:rPr>
        <w:t>万元，</w:t>
      </w:r>
      <w:proofErr w:type="gramStart"/>
      <w:r w:rsidR="00691C14" w:rsidRPr="00BB78FF">
        <w:rPr>
          <w:rFonts w:ascii="宋体" w:hAnsi="宋体" w:cs="宋体"/>
          <w:color w:val="000000"/>
          <w:kern w:val="0"/>
          <w:sz w:val="24"/>
        </w:rPr>
        <w:t>较报告</w:t>
      </w:r>
      <w:proofErr w:type="gramEnd"/>
      <w:r w:rsidR="00691C14" w:rsidRPr="00BB78FF">
        <w:rPr>
          <w:rFonts w:ascii="宋体" w:hAnsi="宋体" w:cs="宋体"/>
          <w:color w:val="000000"/>
          <w:kern w:val="0"/>
          <w:sz w:val="24"/>
        </w:rPr>
        <w:t>期初增长</w:t>
      </w:r>
      <w:r w:rsidR="00E9188D">
        <w:rPr>
          <w:rFonts w:ascii="宋体" w:hAnsi="宋体" w:cs="宋体" w:hint="eastAsia"/>
          <w:color w:val="000000"/>
          <w:kern w:val="0"/>
          <w:sz w:val="24"/>
        </w:rPr>
        <w:t>1</w:t>
      </w:r>
      <w:r w:rsidR="00E9188D">
        <w:rPr>
          <w:rFonts w:ascii="宋体" w:hAnsi="宋体" w:cs="宋体"/>
          <w:color w:val="000000"/>
          <w:kern w:val="0"/>
          <w:sz w:val="24"/>
        </w:rPr>
        <w:t>6.02</w:t>
      </w:r>
      <w:r w:rsidRPr="00BB78FF">
        <w:rPr>
          <w:rFonts w:ascii="宋体" w:hAnsi="宋体" w:cs="宋体"/>
          <w:color w:val="000000"/>
          <w:kern w:val="0"/>
          <w:sz w:val="24"/>
        </w:rPr>
        <w:t>%。</w:t>
      </w:r>
    </w:p>
    <w:p w14:paraId="27C5A66E" w14:textId="77777777" w:rsidR="00032161" w:rsidRPr="00BB78FF" w:rsidRDefault="00032161" w:rsidP="00370CF2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BB78FF">
        <w:rPr>
          <w:rFonts w:ascii="宋体" w:hAnsi="宋体" w:cs="宋体" w:hint="eastAsia"/>
          <w:color w:val="000000"/>
          <w:kern w:val="0"/>
          <w:sz w:val="24"/>
        </w:rPr>
        <w:t>2、</w:t>
      </w:r>
      <w:r w:rsidRPr="00BB78FF">
        <w:rPr>
          <w:rFonts w:ascii="宋体" w:hAnsi="宋体" w:cs="宋体"/>
          <w:color w:val="000000"/>
          <w:kern w:val="0"/>
          <w:sz w:val="24"/>
        </w:rPr>
        <w:t>影响经营业绩的主要因素</w:t>
      </w:r>
    </w:p>
    <w:p w14:paraId="55776618" w14:textId="36F7387E" w:rsidR="006C5EBC" w:rsidRDefault="006C5EBC" w:rsidP="006C5EBC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6C5EBC">
        <w:rPr>
          <w:rFonts w:ascii="宋体" w:hAnsi="宋体" w:cs="宋体" w:hint="eastAsia"/>
          <w:color w:val="000000"/>
          <w:kern w:val="0"/>
          <w:sz w:val="24"/>
        </w:rPr>
        <w:t>本报告</w:t>
      </w:r>
      <w:r w:rsidRPr="00355DAC">
        <w:rPr>
          <w:rFonts w:ascii="宋体" w:hAnsi="宋体" w:cs="宋体" w:hint="eastAsia"/>
          <w:color w:val="000000"/>
          <w:kern w:val="0"/>
          <w:sz w:val="24"/>
        </w:rPr>
        <w:t>期，</w:t>
      </w:r>
      <w:r w:rsidR="001656F9" w:rsidRPr="00355DAC">
        <w:rPr>
          <w:rFonts w:ascii="宋体" w:hAnsi="宋体" w:cs="宋体" w:hint="eastAsia"/>
          <w:color w:val="000000"/>
          <w:kern w:val="0"/>
          <w:sz w:val="24"/>
        </w:rPr>
        <w:t>在</w:t>
      </w:r>
      <w:r w:rsidRPr="00355DAC">
        <w:rPr>
          <w:rFonts w:ascii="宋体" w:hAnsi="宋体" w:cs="宋体" w:hint="eastAsia"/>
          <w:color w:val="000000"/>
          <w:kern w:val="0"/>
          <w:sz w:val="24"/>
        </w:rPr>
        <w:t>公司“三位一体”的经营体系下，</w:t>
      </w:r>
      <w:r w:rsidR="005B2A97">
        <w:rPr>
          <w:rFonts w:ascii="宋体" w:hAnsi="宋体" w:cs="宋体" w:hint="eastAsia"/>
          <w:color w:val="000000"/>
          <w:kern w:val="0"/>
          <w:sz w:val="24"/>
        </w:rPr>
        <w:t>增量型的综合</w:t>
      </w:r>
      <w:r w:rsidR="001656F9" w:rsidRPr="00355DAC">
        <w:rPr>
          <w:rFonts w:ascii="宋体" w:hAnsi="宋体" w:cs="宋体"/>
          <w:color w:val="000000"/>
          <w:kern w:val="0"/>
          <w:sz w:val="24"/>
        </w:rPr>
        <w:t>解决方案类项目带动存量型的产品销售与运营服务业务</w:t>
      </w:r>
      <w:r w:rsidR="006106AC">
        <w:rPr>
          <w:rFonts w:ascii="宋体" w:hAnsi="宋体" w:cs="宋体" w:hint="eastAsia"/>
          <w:color w:val="000000"/>
          <w:kern w:val="0"/>
          <w:sz w:val="24"/>
        </w:rPr>
        <w:t>提升</w:t>
      </w:r>
      <w:r w:rsidR="001656F9" w:rsidRPr="00355DAC">
        <w:rPr>
          <w:rFonts w:ascii="宋体" w:hAnsi="宋体" w:cs="宋体"/>
          <w:color w:val="000000"/>
          <w:kern w:val="0"/>
          <w:sz w:val="24"/>
        </w:rPr>
        <w:t>显著，有效</w:t>
      </w:r>
      <w:r w:rsidR="005B2A97">
        <w:rPr>
          <w:rFonts w:ascii="宋体" w:hAnsi="宋体" w:cs="宋体" w:hint="eastAsia"/>
          <w:color w:val="000000"/>
          <w:kern w:val="0"/>
          <w:sz w:val="24"/>
        </w:rPr>
        <w:t>地</w:t>
      </w:r>
      <w:r w:rsidR="001656F9" w:rsidRPr="00355DAC">
        <w:rPr>
          <w:rFonts w:ascii="宋体" w:hAnsi="宋体" w:cs="宋体"/>
          <w:color w:val="000000"/>
          <w:kern w:val="0"/>
          <w:sz w:val="24"/>
        </w:rPr>
        <w:t>推动了公司业绩的增长。</w:t>
      </w:r>
    </w:p>
    <w:p w14:paraId="4A0FFC1E" w14:textId="5B2C81AB" w:rsidR="006816A6" w:rsidRPr="00882258" w:rsidRDefault="00E22ED9" w:rsidP="00882258">
      <w:pPr>
        <w:widowControl/>
        <w:spacing w:line="360" w:lineRule="auto"/>
        <w:ind w:firstLineChars="200" w:firstLine="482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（</w:t>
      </w:r>
      <w:r w:rsidR="009A6E14" w:rsidRPr="00BB78FF">
        <w:rPr>
          <w:rFonts w:ascii="宋体" w:hAnsi="宋体" w:cs="宋体" w:hint="eastAsia"/>
          <w:b/>
          <w:color w:val="000000"/>
          <w:kern w:val="0"/>
          <w:sz w:val="24"/>
        </w:rPr>
        <w:t>二）</w:t>
      </w:r>
      <w:r w:rsidR="00A77D68" w:rsidRPr="00BB78FF">
        <w:rPr>
          <w:rFonts w:ascii="宋体" w:hAnsi="宋体" w:cs="宋体" w:hint="eastAsia"/>
          <w:b/>
          <w:color w:val="000000"/>
          <w:kern w:val="0"/>
          <w:sz w:val="24"/>
        </w:rPr>
        <w:t>主要财务数据及指标</w:t>
      </w:r>
      <w:r w:rsidR="009A6E14" w:rsidRPr="00BB78FF">
        <w:rPr>
          <w:rFonts w:ascii="宋体" w:hAnsi="宋体" w:cs="宋体" w:hint="eastAsia"/>
          <w:b/>
          <w:color w:val="000000"/>
          <w:kern w:val="0"/>
          <w:sz w:val="24"/>
        </w:rPr>
        <w:t>增减变动幅度达</w:t>
      </w:r>
      <w:r w:rsidR="009A6E14" w:rsidRPr="00BB78FF">
        <w:rPr>
          <w:rFonts w:ascii="宋体" w:hAnsi="宋体" w:cs="宋体"/>
          <w:b/>
          <w:color w:val="000000"/>
          <w:kern w:val="0"/>
          <w:sz w:val="24"/>
        </w:rPr>
        <w:t>30%以上的</w:t>
      </w:r>
      <w:r w:rsidR="00691C14" w:rsidRPr="00BB78FF">
        <w:rPr>
          <w:rFonts w:ascii="宋体" w:hAnsi="宋体" w:cs="宋体"/>
          <w:b/>
          <w:color w:val="000000"/>
          <w:kern w:val="0"/>
          <w:sz w:val="24"/>
        </w:rPr>
        <w:t>主</w:t>
      </w:r>
      <w:r w:rsidR="009A6E14" w:rsidRPr="00BB78FF">
        <w:rPr>
          <w:rFonts w:ascii="宋体" w:hAnsi="宋体" w:cs="宋体"/>
          <w:b/>
          <w:color w:val="000000"/>
          <w:kern w:val="0"/>
          <w:sz w:val="24"/>
        </w:rPr>
        <w:t>要原因</w:t>
      </w:r>
    </w:p>
    <w:p w14:paraId="6771AAF1" w14:textId="206C92C8" w:rsidR="007754EC" w:rsidRDefault="00C90189" w:rsidP="007754EC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</w:t>
      </w:r>
      <w:r w:rsidR="007754EC">
        <w:rPr>
          <w:rFonts w:ascii="宋体" w:hAnsi="宋体" w:cs="宋体" w:hint="eastAsia"/>
          <w:color w:val="000000"/>
          <w:kern w:val="0"/>
          <w:sz w:val="24"/>
        </w:rPr>
        <w:t>报告期内营业利润、利润总额、归属于母公司所有者的净利润、归属于</w:t>
      </w:r>
      <w:r w:rsidR="007754EC" w:rsidRPr="007754EC">
        <w:rPr>
          <w:rFonts w:ascii="宋体" w:hAnsi="宋体" w:cs="宋体" w:hint="eastAsia"/>
          <w:color w:val="000000"/>
          <w:kern w:val="0"/>
          <w:sz w:val="24"/>
        </w:rPr>
        <w:t>母公司所有者的扣除非经常性损益的净利润较上年同期分别增长</w:t>
      </w:r>
      <w:r w:rsidR="00EF2E43">
        <w:rPr>
          <w:rFonts w:ascii="宋体" w:hAnsi="宋体" w:cs="宋体" w:hint="eastAsia"/>
          <w:color w:val="000000"/>
          <w:kern w:val="0"/>
          <w:sz w:val="24"/>
        </w:rPr>
        <w:t>1</w:t>
      </w:r>
      <w:r w:rsidR="00EF2E43">
        <w:rPr>
          <w:rFonts w:ascii="宋体" w:hAnsi="宋体" w:cs="宋体"/>
          <w:color w:val="000000"/>
          <w:kern w:val="0"/>
          <w:sz w:val="24"/>
        </w:rPr>
        <w:t>01.67</w:t>
      </w:r>
      <w:r w:rsidR="007754EC" w:rsidRPr="007754EC">
        <w:rPr>
          <w:rFonts w:ascii="宋体" w:hAnsi="宋体" w:cs="宋体" w:hint="eastAsia"/>
          <w:color w:val="000000"/>
          <w:kern w:val="0"/>
          <w:sz w:val="24"/>
        </w:rPr>
        <w:t>%</w:t>
      </w:r>
      <w:r w:rsidR="007754EC">
        <w:rPr>
          <w:rFonts w:ascii="宋体" w:hAnsi="宋体" w:cs="宋体" w:hint="eastAsia"/>
          <w:color w:val="000000"/>
          <w:kern w:val="0"/>
          <w:sz w:val="24"/>
        </w:rPr>
        <w:t>、</w:t>
      </w:r>
      <w:r w:rsidR="00EF2E43">
        <w:rPr>
          <w:rFonts w:ascii="宋体" w:hAnsi="宋体" w:cs="宋体" w:hint="eastAsia"/>
          <w:color w:val="000000"/>
          <w:kern w:val="0"/>
          <w:sz w:val="24"/>
        </w:rPr>
        <w:t>1</w:t>
      </w:r>
      <w:r w:rsidR="00EF2E43">
        <w:rPr>
          <w:rFonts w:ascii="宋体" w:hAnsi="宋体" w:cs="宋体"/>
          <w:color w:val="000000"/>
          <w:kern w:val="0"/>
          <w:sz w:val="24"/>
        </w:rPr>
        <w:t>03.37</w:t>
      </w:r>
      <w:r w:rsidR="007754EC" w:rsidRPr="007754EC">
        <w:rPr>
          <w:rFonts w:ascii="宋体" w:hAnsi="宋体" w:cs="宋体" w:hint="eastAsia"/>
          <w:color w:val="000000"/>
          <w:kern w:val="0"/>
          <w:sz w:val="24"/>
        </w:rPr>
        <w:t>%、</w:t>
      </w:r>
      <w:r w:rsidR="00EF2E43">
        <w:rPr>
          <w:rFonts w:ascii="宋体" w:hAnsi="宋体" w:cs="宋体" w:hint="eastAsia"/>
          <w:color w:val="000000"/>
          <w:kern w:val="0"/>
          <w:sz w:val="24"/>
        </w:rPr>
        <w:t>1</w:t>
      </w:r>
      <w:r w:rsidR="00EF2E43">
        <w:rPr>
          <w:rFonts w:ascii="宋体" w:hAnsi="宋体" w:cs="宋体"/>
          <w:color w:val="000000"/>
          <w:kern w:val="0"/>
          <w:sz w:val="24"/>
        </w:rPr>
        <w:t>11.71</w:t>
      </w:r>
      <w:r w:rsidR="007754EC" w:rsidRPr="007754EC">
        <w:rPr>
          <w:rFonts w:ascii="宋体" w:hAnsi="宋体" w:cs="宋体" w:hint="eastAsia"/>
          <w:color w:val="000000"/>
          <w:kern w:val="0"/>
          <w:sz w:val="24"/>
        </w:rPr>
        <w:t>%、</w:t>
      </w:r>
      <w:r w:rsidR="00EF2E43">
        <w:rPr>
          <w:rFonts w:ascii="宋体" w:hAnsi="宋体" w:cs="宋体" w:hint="eastAsia"/>
          <w:color w:val="000000"/>
          <w:kern w:val="0"/>
          <w:sz w:val="24"/>
        </w:rPr>
        <w:t>5</w:t>
      </w:r>
      <w:r w:rsidR="00EF2E43">
        <w:rPr>
          <w:rFonts w:ascii="宋体" w:hAnsi="宋体" w:cs="宋体"/>
          <w:color w:val="000000"/>
          <w:kern w:val="0"/>
          <w:sz w:val="24"/>
        </w:rPr>
        <w:t>6.60</w:t>
      </w:r>
      <w:r w:rsidR="007754EC" w:rsidRPr="007754EC">
        <w:rPr>
          <w:rFonts w:ascii="宋体" w:hAnsi="宋体" w:cs="宋体" w:hint="eastAsia"/>
          <w:color w:val="000000"/>
          <w:kern w:val="0"/>
          <w:sz w:val="24"/>
        </w:rPr>
        <w:t>%，</w:t>
      </w:r>
      <w:r w:rsidR="0064122A" w:rsidRPr="0064122A">
        <w:rPr>
          <w:rFonts w:ascii="宋体" w:hAnsi="宋体" w:cs="宋体"/>
          <w:color w:val="000000"/>
          <w:kern w:val="0"/>
          <w:sz w:val="24"/>
        </w:rPr>
        <w:t>主要</w:t>
      </w:r>
      <w:proofErr w:type="gramStart"/>
      <w:r w:rsidR="0064122A" w:rsidRPr="0064122A">
        <w:rPr>
          <w:rFonts w:ascii="宋体" w:hAnsi="宋体" w:cs="宋体"/>
          <w:color w:val="000000"/>
          <w:kern w:val="0"/>
          <w:sz w:val="24"/>
        </w:rPr>
        <w:t>系报告</w:t>
      </w:r>
      <w:proofErr w:type="gramEnd"/>
      <w:r w:rsidR="0064122A" w:rsidRPr="0064122A">
        <w:rPr>
          <w:rFonts w:ascii="宋体" w:hAnsi="宋体" w:cs="宋体"/>
          <w:color w:val="000000"/>
          <w:kern w:val="0"/>
          <w:sz w:val="24"/>
        </w:rPr>
        <w:t>期内收购联营企业投资收益增加</w:t>
      </w:r>
      <w:r w:rsidR="0064122A">
        <w:rPr>
          <w:rFonts w:ascii="宋体" w:hAnsi="宋体" w:cs="宋体" w:hint="eastAsia"/>
          <w:color w:val="000000"/>
          <w:kern w:val="0"/>
          <w:sz w:val="24"/>
        </w:rPr>
        <w:t>以及</w:t>
      </w:r>
      <w:r w:rsidR="0064122A" w:rsidRPr="0064122A">
        <w:rPr>
          <w:rFonts w:ascii="宋体" w:hAnsi="宋体" w:cs="宋体" w:hint="eastAsia"/>
          <w:color w:val="000000"/>
          <w:kern w:val="0"/>
          <w:sz w:val="24"/>
        </w:rPr>
        <w:t>长期稳定且利润较高的产品销售与运营服务业务增长显著</w:t>
      </w:r>
      <w:r w:rsidR="0064122A">
        <w:rPr>
          <w:rFonts w:ascii="宋体" w:hAnsi="宋体" w:cs="宋体" w:hint="eastAsia"/>
          <w:color w:val="000000"/>
          <w:kern w:val="0"/>
          <w:sz w:val="24"/>
        </w:rPr>
        <w:t>所致</w:t>
      </w:r>
      <w:r w:rsidR="007754EC" w:rsidRPr="007754EC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1E9B1338" w14:textId="2636A944" w:rsidR="00C90189" w:rsidRPr="00355DAC" w:rsidRDefault="00C90189" w:rsidP="007754EC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355DAC">
        <w:rPr>
          <w:rFonts w:ascii="宋体" w:hAnsi="宋体" w:cs="宋体"/>
          <w:color w:val="000000"/>
          <w:kern w:val="0"/>
          <w:sz w:val="24"/>
        </w:rPr>
        <w:t>2、报告期内基本每股收益同比增长</w:t>
      </w:r>
      <w:r w:rsidRPr="00355DAC">
        <w:rPr>
          <w:rFonts w:ascii="宋体" w:hAnsi="宋体" w:cs="宋体" w:hint="eastAsia"/>
          <w:color w:val="000000"/>
          <w:kern w:val="0"/>
          <w:sz w:val="24"/>
        </w:rPr>
        <w:t>1</w:t>
      </w:r>
      <w:r w:rsidRPr="00355DAC">
        <w:rPr>
          <w:rFonts w:ascii="宋体" w:hAnsi="宋体" w:cs="宋体"/>
          <w:color w:val="000000"/>
          <w:kern w:val="0"/>
          <w:sz w:val="24"/>
        </w:rPr>
        <w:t>11.58%，主要</w:t>
      </w:r>
      <w:proofErr w:type="gramStart"/>
      <w:r w:rsidRPr="00355DAC">
        <w:rPr>
          <w:rFonts w:ascii="宋体" w:hAnsi="宋体" w:cs="宋体"/>
          <w:color w:val="000000"/>
          <w:kern w:val="0"/>
          <w:sz w:val="24"/>
        </w:rPr>
        <w:t>系报告</w:t>
      </w:r>
      <w:proofErr w:type="gramEnd"/>
      <w:r w:rsidRPr="00355DAC">
        <w:rPr>
          <w:rFonts w:ascii="宋体" w:hAnsi="宋体" w:cs="宋体"/>
          <w:color w:val="000000"/>
          <w:kern w:val="0"/>
          <w:sz w:val="24"/>
        </w:rPr>
        <w:t>期内归属于母公司所有者的净利润增长所致。</w:t>
      </w:r>
    </w:p>
    <w:p w14:paraId="140A452E" w14:textId="34E12228" w:rsidR="006816A6" w:rsidRPr="00BB78FF" w:rsidRDefault="009A6E14" w:rsidP="00BB78FF">
      <w:pPr>
        <w:widowControl/>
        <w:spacing w:beforeLines="50" w:before="156" w:afterLines="50" w:after="156" w:line="360" w:lineRule="auto"/>
        <w:ind w:firstLineChars="200" w:firstLine="482"/>
        <w:outlineLvl w:val="0"/>
        <w:rPr>
          <w:rFonts w:ascii="宋体" w:hAnsi="宋体" w:cs="宋体" w:hint="eastAsia"/>
          <w:b/>
          <w:color w:val="000000"/>
          <w:kern w:val="0"/>
          <w:sz w:val="24"/>
        </w:rPr>
      </w:pPr>
      <w:r w:rsidRPr="00BB78FF">
        <w:rPr>
          <w:rFonts w:ascii="宋体" w:hAnsi="宋体" w:cs="宋体" w:hint="eastAsia"/>
          <w:b/>
          <w:color w:val="000000"/>
          <w:kern w:val="0"/>
          <w:sz w:val="24"/>
        </w:rPr>
        <w:t>三、风险提示</w:t>
      </w:r>
    </w:p>
    <w:p w14:paraId="690CBCBE" w14:textId="6AF95DB6" w:rsidR="006816A6" w:rsidRPr="00BB78FF" w:rsidRDefault="00AC5850" w:rsidP="00370CF2">
      <w:pPr>
        <w:widowControl/>
        <w:spacing w:line="360" w:lineRule="auto"/>
        <w:ind w:firstLineChars="250" w:firstLine="600"/>
        <w:rPr>
          <w:rFonts w:ascii="宋体" w:hAnsi="宋体" w:cs="宋体" w:hint="eastAsia"/>
          <w:color w:val="000000"/>
          <w:kern w:val="0"/>
          <w:sz w:val="24"/>
        </w:rPr>
      </w:pPr>
      <w:r w:rsidRPr="00BB78FF">
        <w:rPr>
          <w:rFonts w:ascii="宋体" w:hAnsi="宋体" w:cs="宋体"/>
          <w:color w:val="000000"/>
          <w:kern w:val="0"/>
          <w:sz w:val="24"/>
        </w:rPr>
        <w:t>本公告所载公司202</w:t>
      </w:r>
      <w:r w:rsidR="006C5EBC">
        <w:rPr>
          <w:rFonts w:ascii="宋体" w:hAnsi="宋体" w:cs="宋体" w:hint="eastAsia"/>
          <w:color w:val="000000"/>
          <w:kern w:val="0"/>
          <w:sz w:val="24"/>
        </w:rPr>
        <w:t>4</w:t>
      </w:r>
      <w:r w:rsidRPr="00BB78FF">
        <w:rPr>
          <w:rFonts w:ascii="宋体" w:hAnsi="宋体" w:cs="宋体"/>
          <w:color w:val="000000"/>
          <w:kern w:val="0"/>
          <w:sz w:val="24"/>
        </w:rPr>
        <w:t>年度主要财务数据和指标为初步核算数据，未经会计师事务所</w:t>
      </w:r>
      <w:r w:rsidR="00E22ED9">
        <w:rPr>
          <w:rFonts w:ascii="宋体" w:hAnsi="宋体" w:cs="宋体" w:hint="eastAsia"/>
          <w:color w:val="000000"/>
          <w:kern w:val="0"/>
          <w:sz w:val="24"/>
        </w:rPr>
        <w:t>审计</w:t>
      </w:r>
      <w:r w:rsidRPr="00BB78FF">
        <w:rPr>
          <w:rFonts w:ascii="宋体" w:hAnsi="宋体" w:cs="宋体"/>
          <w:color w:val="000000"/>
          <w:kern w:val="0"/>
          <w:sz w:val="24"/>
        </w:rPr>
        <w:t>，可能与公司202</w:t>
      </w:r>
      <w:r w:rsidR="006C5EBC">
        <w:rPr>
          <w:rFonts w:ascii="宋体" w:hAnsi="宋体" w:cs="宋体" w:hint="eastAsia"/>
          <w:color w:val="000000"/>
          <w:kern w:val="0"/>
          <w:sz w:val="24"/>
        </w:rPr>
        <w:t>4</w:t>
      </w:r>
      <w:r w:rsidRPr="00BB78FF">
        <w:rPr>
          <w:rFonts w:ascii="宋体" w:hAnsi="宋体" w:cs="宋体"/>
          <w:color w:val="000000"/>
          <w:kern w:val="0"/>
          <w:sz w:val="24"/>
        </w:rPr>
        <w:t>年年度报告中披露的数字存在差异，具体数据以公司正式披露的经审计后的202</w:t>
      </w:r>
      <w:r w:rsidR="006C5EBC">
        <w:rPr>
          <w:rFonts w:ascii="宋体" w:hAnsi="宋体" w:cs="宋体" w:hint="eastAsia"/>
          <w:color w:val="000000"/>
          <w:kern w:val="0"/>
          <w:sz w:val="24"/>
        </w:rPr>
        <w:t>4</w:t>
      </w:r>
      <w:r w:rsidRPr="00BB78FF">
        <w:rPr>
          <w:rFonts w:ascii="宋体" w:hAnsi="宋体" w:cs="宋体"/>
          <w:color w:val="000000"/>
          <w:kern w:val="0"/>
          <w:sz w:val="24"/>
        </w:rPr>
        <w:t>年年度报告为准，敬请广大投资者注意投资风险。</w:t>
      </w:r>
    </w:p>
    <w:p w14:paraId="3EE7E55E" w14:textId="77777777" w:rsidR="00216EFC" w:rsidRDefault="00216EFC" w:rsidP="00370CF2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14:paraId="56F7CE75" w14:textId="478E733E" w:rsidR="006816A6" w:rsidRPr="00BB78FF" w:rsidRDefault="009A6E14" w:rsidP="00370CF2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BB78FF">
        <w:rPr>
          <w:rFonts w:ascii="宋体" w:hAnsi="宋体" w:cs="宋体" w:hint="eastAsia"/>
          <w:color w:val="000000"/>
          <w:kern w:val="0"/>
          <w:sz w:val="24"/>
        </w:rPr>
        <w:t>特此公告。</w:t>
      </w:r>
    </w:p>
    <w:p w14:paraId="69360D05" w14:textId="2525FD1F" w:rsidR="007C6B5D" w:rsidRPr="005007F8" w:rsidRDefault="007D399D" w:rsidP="005007F8">
      <w:pPr>
        <w:widowControl/>
        <w:spacing w:line="600" w:lineRule="exact"/>
        <w:ind w:firstLineChars="200" w:firstLine="480"/>
        <w:jc w:val="right"/>
        <w:rPr>
          <w:sz w:val="24"/>
        </w:rPr>
      </w:pPr>
      <w:r w:rsidRPr="00BB78FF">
        <w:rPr>
          <w:rFonts w:ascii="宋体" w:hAnsi="宋体" w:cs="宋体" w:hint="eastAsia"/>
          <w:color w:val="000000"/>
          <w:kern w:val="0"/>
          <w:sz w:val="24"/>
        </w:rPr>
        <w:t>赛恩斯环保</w:t>
      </w:r>
      <w:r w:rsidR="006816A6" w:rsidRPr="00BB78FF">
        <w:rPr>
          <w:rFonts w:ascii="宋体" w:hAnsi="宋体" w:cs="宋体"/>
          <w:color w:val="000000"/>
          <w:kern w:val="0"/>
          <w:sz w:val="24"/>
        </w:rPr>
        <w:t>股份有限公司董事会</w:t>
      </w:r>
      <w:r w:rsidR="007401AD" w:rsidRPr="00BB78FF">
        <w:rPr>
          <w:rFonts w:ascii="宋体" w:hAnsi="宋体" w:cs="宋体" w:hint="eastAsia"/>
          <w:color w:val="000000"/>
          <w:kern w:val="0"/>
          <w:sz w:val="24"/>
        </w:rPr>
        <w:br/>
      </w:r>
      <w:r w:rsidR="00AC5850" w:rsidRPr="00BB78FF">
        <w:rPr>
          <w:rFonts w:ascii="宋体" w:hAnsi="宋体" w:cs="宋体" w:hint="eastAsia"/>
          <w:color w:val="000000"/>
          <w:kern w:val="0"/>
          <w:sz w:val="24"/>
        </w:rPr>
        <w:t>2</w:t>
      </w:r>
      <w:r w:rsidR="00AC5850" w:rsidRPr="00BB78FF">
        <w:rPr>
          <w:rFonts w:ascii="宋体" w:hAnsi="宋体" w:cs="宋体"/>
          <w:color w:val="000000"/>
          <w:kern w:val="0"/>
          <w:sz w:val="24"/>
        </w:rPr>
        <w:t>02</w:t>
      </w:r>
      <w:r w:rsidR="006C5EBC">
        <w:rPr>
          <w:rFonts w:ascii="宋体" w:hAnsi="宋体" w:cs="宋体" w:hint="eastAsia"/>
          <w:color w:val="000000"/>
          <w:kern w:val="0"/>
          <w:sz w:val="24"/>
        </w:rPr>
        <w:t>5</w:t>
      </w:r>
      <w:r w:rsidR="009A6E14" w:rsidRPr="00BB78FF">
        <w:rPr>
          <w:rFonts w:ascii="宋体" w:hAnsi="宋体" w:cs="宋体" w:hint="eastAsia"/>
          <w:color w:val="000000"/>
          <w:kern w:val="0"/>
          <w:sz w:val="24"/>
        </w:rPr>
        <w:t>年</w:t>
      </w:r>
      <w:r w:rsidR="00AC5850" w:rsidRPr="00BB78FF">
        <w:rPr>
          <w:rFonts w:ascii="宋体" w:hAnsi="宋体" w:cs="宋体"/>
          <w:color w:val="000000"/>
          <w:kern w:val="0"/>
          <w:sz w:val="24"/>
        </w:rPr>
        <w:t>2</w:t>
      </w:r>
      <w:r w:rsidR="009A6E14" w:rsidRPr="00BB78FF">
        <w:rPr>
          <w:rFonts w:ascii="宋体" w:hAnsi="宋体" w:cs="宋体" w:hint="eastAsia"/>
          <w:color w:val="000000"/>
          <w:kern w:val="0"/>
          <w:sz w:val="24"/>
        </w:rPr>
        <w:t>月</w:t>
      </w:r>
      <w:r w:rsidR="0092559C">
        <w:rPr>
          <w:rFonts w:ascii="宋体" w:hAnsi="宋体" w:cs="宋体"/>
          <w:color w:val="000000"/>
          <w:kern w:val="0"/>
          <w:sz w:val="24"/>
        </w:rPr>
        <w:t>2</w:t>
      </w:r>
      <w:r w:rsidR="00D823AE">
        <w:rPr>
          <w:rFonts w:ascii="宋体" w:hAnsi="宋体" w:cs="宋体" w:hint="eastAsia"/>
          <w:color w:val="000000"/>
          <w:kern w:val="0"/>
          <w:sz w:val="24"/>
        </w:rPr>
        <w:t>6</w:t>
      </w:r>
      <w:r w:rsidR="009A6E14" w:rsidRPr="00BB78FF">
        <w:rPr>
          <w:rFonts w:ascii="宋体" w:hAnsi="宋体" w:cs="宋体" w:hint="eastAsia"/>
          <w:color w:val="000000"/>
          <w:kern w:val="0"/>
          <w:sz w:val="24"/>
        </w:rPr>
        <w:t>日</w:t>
      </w:r>
      <w:bookmarkEnd w:id="0"/>
      <w:bookmarkEnd w:id="1"/>
      <w:bookmarkEnd w:id="2"/>
    </w:p>
    <w:sectPr w:rsidR="007C6B5D" w:rsidRPr="005007F8" w:rsidSect="001345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0AA3E" w14:textId="77777777" w:rsidR="000D727B" w:rsidRDefault="000D727B" w:rsidP="009B1CE1">
      <w:r>
        <w:separator/>
      </w:r>
    </w:p>
  </w:endnote>
  <w:endnote w:type="continuationSeparator" w:id="0">
    <w:p w14:paraId="730FC5A0" w14:textId="77777777" w:rsidR="000D727B" w:rsidRDefault="000D727B" w:rsidP="009B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09EA" w14:textId="50002A5A" w:rsidR="004C64E9" w:rsidRDefault="004C64E9">
    <w:pPr>
      <w:pStyle w:val="ae"/>
      <w:jc w:val="center"/>
    </w:pPr>
  </w:p>
  <w:p w14:paraId="50A02847" w14:textId="77777777" w:rsidR="004C64E9" w:rsidRDefault="004C64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9B17F" w14:textId="77777777" w:rsidR="000D727B" w:rsidRDefault="000D727B" w:rsidP="009B1CE1">
      <w:r>
        <w:separator/>
      </w:r>
    </w:p>
  </w:footnote>
  <w:footnote w:type="continuationSeparator" w:id="0">
    <w:p w14:paraId="3CFD2F1F" w14:textId="77777777" w:rsidR="000D727B" w:rsidRDefault="000D727B" w:rsidP="009B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826EA"/>
    <w:multiLevelType w:val="multilevel"/>
    <w:tmpl w:val="8DB02F52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0504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D"/>
    <w:rsid w:val="00012FE0"/>
    <w:rsid w:val="00017271"/>
    <w:rsid w:val="00030419"/>
    <w:rsid w:val="00032161"/>
    <w:rsid w:val="00033060"/>
    <w:rsid w:val="00042D5C"/>
    <w:rsid w:val="00086B8E"/>
    <w:rsid w:val="00087792"/>
    <w:rsid w:val="000A4CFF"/>
    <w:rsid w:val="000B58CB"/>
    <w:rsid w:val="000C4178"/>
    <w:rsid w:val="000D7272"/>
    <w:rsid w:val="000D727B"/>
    <w:rsid w:val="000E11CB"/>
    <w:rsid w:val="000E21CA"/>
    <w:rsid w:val="000F443F"/>
    <w:rsid w:val="00106E34"/>
    <w:rsid w:val="0013451E"/>
    <w:rsid w:val="00145C04"/>
    <w:rsid w:val="001558FA"/>
    <w:rsid w:val="0016304D"/>
    <w:rsid w:val="001656F9"/>
    <w:rsid w:val="00172A90"/>
    <w:rsid w:val="00177063"/>
    <w:rsid w:val="0018035C"/>
    <w:rsid w:val="00186A39"/>
    <w:rsid w:val="001A103F"/>
    <w:rsid w:val="001A42A6"/>
    <w:rsid w:val="001A556A"/>
    <w:rsid w:val="001B6708"/>
    <w:rsid w:val="001D3B32"/>
    <w:rsid w:val="001D5786"/>
    <w:rsid w:val="001D75FD"/>
    <w:rsid w:val="001E3DAD"/>
    <w:rsid w:val="001F4CCF"/>
    <w:rsid w:val="00212DC1"/>
    <w:rsid w:val="00215BC6"/>
    <w:rsid w:val="00216EFC"/>
    <w:rsid w:val="00222535"/>
    <w:rsid w:val="00224DC4"/>
    <w:rsid w:val="002304CE"/>
    <w:rsid w:val="00237701"/>
    <w:rsid w:val="002410A2"/>
    <w:rsid w:val="002637EE"/>
    <w:rsid w:val="0026738E"/>
    <w:rsid w:val="00270C59"/>
    <w:rsid w:val="00274F4C"/>
    <w:rsid w:val="0028661C"/>
    <w:rsid w:val="00291652"/>
    <w:rsid w:val="00296F1F"/>
    <w:rsid w:val="002B3012"/>
    <w:rsid w:val="002D28C9"/>
    <w:rsid w:val="002D2F07"/>
    <w:rsid w:val="002D692C"/>
    <w:rsid w:val="002E283D"/>
    <w:rsid w:val="00307369"/>
    <w:rsid w:val="00326AC7"/>
    <w:rsid w:val="00346391"/>
    <w:rsid w:val="00352535"/>
    <w:rsid w:val="0035369F"/>
    <w:rsid w:val="00355DAC"/>
    <w:rsid w:val="00367C9B"/>
    <w:rsid w:val="00370CF2"/>
    <w:rsid w:val="0037514B"/>
    <w:rsid w:val="00385DC7"/>
    <w:rsid w:val="003B540A"/>
    <w:rsid w:val="003D2FFD"/>
    <w:rsid w:val="00434584"/>
    <w:rsid w:val="004362D4"/>
    <w:rsid w:val="004455A5"/>
    <w:rsid w:val="004558F3"/>
    <w:rsid w:val="0045699D"/>
    <w:rsid w:val="00457EF6"/>
    <w:rsid w:val="004728F3"/>
    <w:rsid w:val="00493CD7"/>
    <w:rsid w:val="004A5BB2"/>
    <w:rsid w:val="004C64E9"/>
    <w:rsid w:val="004E2C63"/>
    <w:rsid w:val="004F4FC3"/>
    <w:rsid w:val="005007F8"/>
    <w:rsid w:val="0051637F"/>
    <w:rsid w:val="005306D2"/>
    <w:rsid w:val="00534DBF"/>
    <w:rsid w:val="0053654C"/>
    <w:rsid w:val="0057389C"/>
    <w:rsid w:val="005812D0"/>
    <w:rsid w:val="005814BA"/>
    <w:rsid w:val="005909C9"/>
    <w:rsid w:val="00591D79"/>
    <w:rsid w:val="005A4CC2"/>
    <w:rsid w:val="005B2A97"/>
    <w:rsid w:val="005D2170"/>
    <w:rsid w:val="005E22AA"/>
    <w:rsid w:val="005E3577"/>
    <w:rsid w:val="005E7009"/>
    <w:rsid w:val="00600110"/>
    <w:rsid w:val="00600C2C"/>
    <w:rsid w:val="006014F9"/>
    <w:rsid w:val="006106AC"/>
    <w:rsid w:val="00610EB2"/>
    <w:rsid w:val="00622478"/>
    <w:rsid w:val="006362B8"/>
    <w:rsid w:val="0064122A"/>
    <w:rsid w:val="00647CE6"/>
    <w:rsid w:val="00652629"/>
    <w:rsid w:val="00666F33"/>
    <w:rsid w:val="006675D2"/>
    <w:rsid w:val="006816A6"/>
    <w:rsid w:val="00686979"/>
    <w:rsid w:val="00691C14"/>
    <w:rsid w:val="006A775F"/>
    <w:rsid w:val="006B6DC5"/>
    <w:rsid w:val="006B714F"/>
    <w:rsid w:val="006C5EBC"/>
    <w:rsid w:val="006D6D83"/>
    <w:rsid w:val="006F256D"/>
    <w:rsid w:val="00707A5E"/>
    <w:rsid w:val="00711460"/>
    <w:rsid w:val="00712108"/>
    <w:rsid w:val="007333A1"/>
    <w:rsid w:val="007401AD"/>
    <w:rsid w:val="007403B5"/>
    <w:rsid w:val="0075003C"/>
    <w:rsid w:val="00761D51"/>
    <w:rsid w:val="0076307F"/>
    <w:rsid w:val="00771552"/>
    <w:rsid w:val="007754EC"/>
    <w:rsid w:val="0077565F"/>
    <w:rsid w:val="00782966"/>
    <w:rsid w:val="007B3C2A"/>
    <w:rsid w:val="007C051B"/>
    <w:rsid w:val="007C4AF0"/>
    <w:rsid w:val="007C507B"/>
    <w:rsid w:val="007C6B5D"/>
    <w:rsid w:val="007D399D"/>
    <w:rsid w:val="007E1644"/>
    <w:rsid w:val="007E62A6"/>
    <w:rsid w:val="007F77FC"/>
    <w:rsid w:val="008063F0"/>
    <w:rsid w:val="00811F7B"/>
    <w:rsid w:val="00815641"/>
    <w:rsid w:val="00825C69"/>
    <w:rsid w:val="0082722B"/>
    <w:rsid w:val="00830190"/>
    <w:rsid w:val="008309A3"/>
    <w:rsid w:val="008320EC"/>
    <w:rsid w:val="00835BE0"/>
    <w:rsid w:val="00836A70"/>
    <w:rsid w:val="00847BC3"/>
    <w:rsid w:val="008573C5"/>
    <w:rsid w:val="00874A75"/>
    <w:rsid w:val="008762BA"/>
    <w:rsid w:val="00882258"/>
    <w:rsid w:val="00882BAA"/>
    <w:rsid w:val="00887F0B"/>
    <w:rsid w:val="00891E85"/>
    <w:rsid w:val="008953E4"/>
    <w:rsid w:val="008A14DA"/>
    <w:rsid w:val="008A1DEC"/>
    <w:rsid w:val="008D12C4"/>
    <w:rsid w:val="008D3D22"/>
    <w:rsid w:val="008D68FF"/>
    <w:rsid w:val="008E5D8D"/>
    <w:rsid w:val="00913CF9"/>
    <w:rsid w:val="009163E2"/>
    <w:rsid w:val="0091756C"/>
    <w:rsid w:val="00917EA3"/>
    <w:rsid w:val="00924790"/>
    <w:rsid w:val="0092559C"/>
    <w:rsid w:val="00947BE8"/>
    <w:rsid w:val="00950AEC"/>
    <w:rsid w:val="00956160"/>
    <w:rsid w:val="00956D3D"/>
    <w:rsid w:val="00966339"/>
    <w:rsid w:val="00973C2A"/>
    <w:rsid w:val="00975A7E"/>
    <w:rsid w:val="009A1AA6"/>
    <w:rsid w:val="009A3BC4"/>
    <w:rsid w:val="009A6E14"/>
    <w:rsid w:val="009B064B"/>
    <w:rsid w:val="009B1CE1"/>
    <w:rsid w:val="009D1B75"/>
    <w:rsid w:val="009D7F13"/>
    <w:rsid w:val="009F371B"/>
    <w:rsid w:val="009F4E23"/>
    <w:rsid w:val="00A110CD"/>
    <w:rsid w:val="00A15055"/>
    <w:rsid w:val="00A2448C"/>
    <w:rsid w:val="00A26FCB"/>
    <w:rsid w:val="00A425A2"/>
    <w:rsid w:val="00A47F25"/>
    <w:rsid w:val="00A67F00"/>
    <w:rsid w:val="00A76E40"/>
    <w:rsid w:val="00A77D68"/>
    <w:rsid w:val="00A77E4E"/>
    <w:rsid w:val="00A86C9C"/>
    <w:rsid w:val="00A90C87"/>
    <w:rsid w:val="00A95045"/>
    <w:rsid w:val="00A978C5"/>
    <w:rsid w:val="00AB2FB9"/>
    <w:rsid w:val="00AC5850"/>
    <w:rsid w:val="00AD1FC4"/>
    <w:rsid w:val="00AD3739"/>
    <w:rsid w:val="00AE1180"/>
    <w:rsid w:val="00AE1DD7"/>
    <w:rsid w:val="00AE5FF3"/>
    <w:rsid w:val="00B047CE"/>
    <w:rsid w:val="00B1000C"/>
    <w:rsid w:val="00B22B9F"/>
    <w:rsid w:val="00B273B1"/>
    <w:rsid w:val="00B340DF"/>
    <w:rsid w:val="00B36434"/>
    <w:rsid w:val="00B37F6E"/>
    <w:rsid w:val="00B64D0D"/>
    <w:rsid w:val="00B7753F"/>
    <w:rsid w:val="00B876BE"/>
    <w:rsid w:val="00BA3103"/>
    <w:rsid w:val="00BA46CF"/>
    <w:rsid w:val="00BB3639"/>
    <w:rsid w:val="00BB5BE0"/>
    <w:rsid w:val="00BB67EA"/>
    <w:rsid w:val="00BB78FF"/>
    <w:rsid w:val="00BD303F"/>
    <w:rsid w:val="00BE3D79"/>
    <w:rsid w:val="00BF0C29"/>
    <w:rsid w:val="00BF60C5"/>
    <w:rsid w:val="00C20B45"/>
    <w:rsid w:val="00C25B68"/>
    <w:rsid w:val="00C32135"/>
    <w:rsid w:val="00C35363"/>
    <w:rsid w:val="00C4253B"/>
    <w:rsid w:val="00C44F2D"/>
    <w:rsid w:val="00C64DE1"/>
    <w:rsid w:val="00C675E1"/>
    <w:rsid w:val="00C82AAE"/>
    <w:rsid w:val="00C87670"/>
    <w:rsid w:val="00C90189"/>
    <w:rsid w:val="00CC05B9"/>
    <w:rsid w:val="00CC275E"/>
    <w:rsid w:val="00CD5635"/>
    <w:rsid w:val="00CE2143"/>
    <w:rsid w:val="00CE4A62"/>
    <w:rsid w:val="00CE66F3"/>
    <w:rsid w:val="00D10630"/>
    <w:rsid w:val="00D10AEC"/>
    <w:rsid w:val="00D24E2E"/>
    <w:rsid w:val="00D40C22"/>
    <w:rsid w:val="00D51D4B"/>
    <w:rsid w:val="00D53338"/>
    <w:rsid w:val="00D64667"/>
    <w:rsid w:val="00D823AE"/>
    <w:rsid w:val="00D92E16"/>
    <w:rsid w:val="00DB551A"/>
    <w:rsid w:val="00DD2067"/>
    <w:rsid w:val="00DF489E"/>
    <w:rsid w:val="00DF6A88"/>
    <w:rsid w:val="00E0249D"/>
    <w:rsid w:val="00E131C8"/>
    <w:rsid w:val="00E16828"/>
    <w:rsid w:val="00E22ED9"/>
    <w:rsid w:val="00E247BD"/>
    <w:rsid w:val="00E27ABA"/>
    <w:rsid w:val="00E3570B"/>
    <w:rsid w:val="00E516D0"/>
    <w:rsid w:val="00E547C4"/>
    <w:rsid w:val="00E60C3F"/>
    <w:rsid w:val="00E66D88"/>
    <w:rsid w:val="00E9188D"/>
    <w:rsid w:val="00EA25FF"/>
    <w:rsid w:val="00ED05B6"/>
    <w:rsid w:val="00EF1CFD"/>
    <w:rsid w:val="00EF2E43"/>
    <w:rsid w:val="00F007BD"/>
    <w:rsid w:val="00F23D6D"/>
    <w:rsid w:val="00F30214"/>
    <w:rsid w:val="00F30F3D"/>
    <w:rsid w:val="00F33EE4"/>
    <w:rsid w:val="00F3673B"/>
    <w:rsid w:val="00F370BA"/>
    <w:rsid w:val="00F3794D"/>
    <w:rsid w:val="00F52EFF"/>
    <w:rsid w:val="00F533A2"/>
    <w:rsid w:val="00F85C00"/>
    <w:rsid w:val="00F9286B"/>
    <w:rsid w:val="00FA1E64"/>
    <w:rsid w:val="00FC0F77"/>
    <w:rsid w:val="00FC19E7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6B598"/>
  <w15:chartTrackingRefBased/>
  <w15:docId w15:val="{1F361444-5820-409A-AC0B-114ABC9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2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E024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0"/>
    <w:rsid w:val="00E0249D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  <w:lang w:val="x-none" w:eastAsia="x-none"/>
    </w:rPr>
  </w:style>
  <w:style w:type="character" w:customStyle="1" w:styleId="20">
    <w:name w:val="正文文本缩进 2 字符"/>
    <w:link w:val="2"/>
    <w:rsid w:val="00E0249D"/>
    <w:rPr>
      <w:rFonts w:ascii="仿宋_GB2312" w:eastAsia="仿宋_GB2312" w:hAnsi="宋体" w:cs="Times New Roman"/>
      <w:sz w:val="30"/>
      <w:szCs w:val="30"/>
    </w:rPr>
  </w:style>
  <w:style w:type="paragraph" w:styleId="a3">
    <w:name w:val="Body Text Indent"/>
    <w:basedOn w:val="a"/>
    <w:link w:val="a4"/>
    <w:unhideWhenUsed/>
    <w:rsid w:val="00E0249D"/>
    <w:pPr>
      <w:spacing w:after="120"/>
      <w:ind w:leftChars="200" w:left="420"/>
    </w:pPr>
    <w:rPr>
      <w:kern w:val="0"/>
      <w:sz w:val="20"/>
      <w:lang w:val="x-none" w:eastAsia="x-none"/>
    </w:rPr>
  </w:style>
  <w:style w:type="character" w:customStyle="1" w:styleId="a4">
    <w:name w:val="正文文本缩进 字符"/>
    <w:link w:val="a3"/>
    <w:rsid w:val="00E0249D"/>
    <w:rPr>
      <w:rFonts w:ascii="Times New Roman" w:eastAsia="宋体" w:hAnsi="Times New Roman" w:cs="Times New Roman"/>
      <w:szCs w:val="24"/>
    </w:rPr>
  </w:style>
  <w:style w:type="character" w:styleId="a5">
    <w:name w:val="annotation reference"/>
    <w:uiPriority w:val="99"/>
    <w:semiHidden/>
    <w:unhideWhenUsed/>
    <w:rsid w:val="003B540A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3B540A"/>
    <w:pPr>
      <w:jc w:val="left"/>
    </w:pPr>
    <w:rPr>
      <w:kern w:val="0"/>
      <w:sz w:val="20"/>
      <w:lang w:val="x-none" w:eastAsia="x-none"/>
    </w:rPr>
  </w:style>
  <w:style w:type="character" w:customStyle="1" w:styleId="a7">
    <w:name w:val="批注文字 字符"/>
    <w:link w:val="a6"/>
    <w:uiPriority w:val="99"/>
    <w:rsid w:val="003B540A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540A"/>
    <w:rPr>
      <w:b/>
      <w:bCs/>
    </w:rPr>
  </w:style>
  <w:style w:type="character" w:customStyle="1" w:styleId="a9">
    <w:name w:val="批注主题 字符"/>
    <w:link w:val="a8"/>
    <w:uiPriority w:val="99"/>
    <w:semiHidden/>
    <w:rsid w:val="003B540A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540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3B540A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1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d">
    <w:name w:val="页眉 字符"/>
    <w:link w:val="ac"/>
    <w:uiPriority w:val="99"/>
    <w:rsid w:val="009B1CE1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B1C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f">
    <w:name w:val="页脚 字符"/>
    <w:link w:val="ae"/>
    <w:uiPriority w:val="99"/>
    <w:rsid w:val="009B1CE1"/>
    <w:rPr>
      <w:rFonts w:ascii="Times New Roman" w:eastAsia="宋体" w:hAnsi="Times New Roman" w:cs="Times New Roman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686979"/>
    <w:pPr>
      <w:ind w:leftChars="2500" w:left="100"/>
    </w:pPr>
    <w:rPr>
      <w:kern w:val="0"/>
      <w:sz w:val="20"/>
      <w:lang w:val="x-none" w:eastAsia="x-none"/>
    </w:rPr>
  </w:style>
  <w:style w:type="character" w:customStyle="1" w:styleId="af1">
    <w:name w:val="日期 字符"/>
    <w:link w:val="af0"/>
    <w:uiPriority w:val="99"/>
    <w:semiHidden/>
    <w:rsid w:val="00686979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4558F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11">
    <w:name w:val="列出段落1"/>
    <w:basedOn w:val="a"/>
    <w:qFormat/>
    <w:rsid w:val="0060011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2">
    <w:name w:val="Document Map"/>
    <w:basedOn w:val="a"/>
    <w:link w:val="af3"/>
    <w:uiPriority w:val="99"/>
    <w:semiHidden/>
    <w:unhideWhenUsed/>
    <w:rsid w:val="00270C59"/>
    <w:rPr>
      <w:rFonts w:ascii="宋体"/>
      <w:sz w:val="18"/>
      <w:szCs w:val="18"/>
      <w:lang w:val="x-none" w:eastAsia="x-none"/>
    </w:rPr>
  </w:style>
  <w:style w:type="character" w:customStyle="1" w:styleId="af3">
    <w:name w:val="文档结构图 字符"/>
    <w:link w:val="af2"/>
    <w:uiPriority w:val="99"/>
    <w:semiHidden/>
    <w:rsid w:val="00270C59"/>
    <w:rPr>
      <w:rFonts w:ascii="宋体" w:hAnsi="Times New Roman"/>
      <w:kern w:val="2"/>
      <w:sz w:val="18"/>
      <w:szCs w:val="18"/>
    </w:rPr>
  </w:style>
  <w:style w:type="paragraph" w:styleId="af4">
    <w:name w:val="Revision"/>
    <w:hidden/>
    <w:uiPriority w:val="99"/>
    <w:semiHidden/>
    <w:rsid w:val="005007F8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79E63-971D-4806-8DF0-B0CC0A69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712</Words>
  <Characters>785</Characters>
  <Application>Microsoft Office Word</Application>
  <DocSecurity>0</DocSecurity>
  <Lines>261</Lines>
  <Paragraphs>136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dsware</dc:creator>
  <cp:keywords/>
  <cp:lastModifiedBy>木 木</cp:lastModifiedBy>
  <cp:revision>27</cp:revision>
  <cp:lastPrinted>2025-02-24T08:39:00Z</cp:lastPrinted>
  <dcterms:created xsi:type="dcterms:W3CDTF">2023-02-21T08:51:00Z</dcterms:created>
  <dcterms:modified xsi:type="dcterms:W3CDTF">2025-02-24T08:55:00Z</dcterms:modified>
</cp:coreProperties>
</file>