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CF2" w:rsidRDefault="00E47CF2">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E47CF2">
        <w:trPr>
          <w:trHeight w:hRule="exact" w:val="373"/>
        </w:trPr>
        <w:tc>
          <w:tcPr>
            <w:tcW w:w="2711" w:type="dxa"/>
            <w:tcBorders>
              <w:top w:val="nil"/>
              <w:left w:val="nil"/>
              <w:bottom w:val="nil"/>
              <w:right w:val="nil"/>
            </w:tcBorders>
          </w:tcPr>
          <w:p w:rsidR="00E47CF2"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rsidR="00E47CF2"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rsidR="00E47CF2"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w:t>
            </w:r>
            <w:r>
              <w:rPr>
                <w:rFonts w:asciiTheme="majorEastAsia" w:eastAsiaTheme="majorEastAsia" w:hAnsiTheme="majorEastAsia" w:cs="Times New Roman" w:hint="eastAsia"/>
                <w:b/>
                <w:bCs/>
                <w:sz w:val="24"/>
                <w:szCs w:val="24"/>
                <w:lang w:eastAsia="zh-CN"/>
              </w:rPr>
              <w:t>0</w:t>
            </w:r>
            <w:r>
              <w:rPr>
                <w:rFonts w:asciiTheme="majorEastAsia" w:eastAsiaTheme="majorEastAsia" w:hAnsiTheme="majorEastAsia" w:cs="Times New Roman"/>
                <w:b/>
                <w:bCs/>
                <w:sz w:val="24"/>
                <w:szCs w:val="24"/>
                <w:lang w:eastAsia="zh-CN"/>
              </w:rPr>
              <w:t>2</w:t>
            </w:r>
            <w:r w:rsidR="00B635DA">
              <w:rPr>
                <w:rFonts w:asciiTheme="majorEastAsia" w:eastAsiaTheme="majorEastAsia" w:hAnsiTheme="majorEastAsia" w:cs="Times New Roman"/>
                <w:b/>
                <w:bCs/>
                <w:sz w:val="24"/>
                <w:szCs w:val="24"/>
                <w:lang w:eastAsia="zh-CN"/>
              </w:rPr>
              <w:t>8</w:t>
            </w:r>
          </w:p>
        </w:tc>
      </w:tr>
    </w:tbl>
    <w:p w:rsidR="00E47CF2" w:rsidRDefault="00E47CF2">
      <w:pPr>
        <w:rPr>
          <w:rFonts w:asciiTheme="majorEastAsia" w:eastAsiaTheme="majorEastAsia" w:hAnsiTheme="majorEastAsia" w:cs="Times New Roman"/>
          <w:sz w:val="20"/>
          <w:szCs w:val="20"/>
        </w:rPr>
      </w:pPr>
    </w:p>
    <w:p w:rsidR="00E47CF2" w:rsidRDefault="00E47CF2">
      <w:pPr>
        <w:spacing w:line="360" w:lineRule="auto"/>
        <w:jc w:val="center"/>
        <w:rPr>
          <w:rFonts w:ascii="宋体" w:eastAsia="宋体" w:hAnsi="宋体" w:cs="宋体"/>
          <w:b/>
          <w:bCs/>
          <w:color w:val="FF0000"/>
          <w:sz w:val="36"/>
          <w:szCs w:val="36"/>
          <w:lang w:eastAsia="zh-CN"/>
        </w:rPr>
      </w:pPr>
    </w:p>
    <w:p w:rsidR="00E47CF2" w:rsidRDefault="00000000">
      <w:pPr>
        <w:spacing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rsidR="00E47CF2"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关于向激励对象首次授予限制性股票的公告</w:t>
      </w:r>
    </w:p>
    <w:p w:rsidR="00E47CF2"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56515</wp:posOffset>
                </wp:positionH>
                <wp:positionV relativeFrom="paragraph">
                  <wp:posOffset>436245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rsidR="00E47CF2"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5pt;margin-top:34.35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" filled="f" strokeweight=".48pt">
                <v:textbox inset="0,0,0,0">
                  <w:txbxContent>
                    <w:p w:rsidR="00E47CF2" w:rsidRDefault="00000000">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rsidR="00E47CF2" w:rsidRDefault="00E47CF2">
      <w:pPr>
        <w:spacing w:line="360" w:lineRule="auto"/>
        <w:jc w:val="center"/>
        <w:rPr>
          <w:rFonts w:ascii="宋体" w:eastAsia="宋体" w:hAnsi="宋体" w:cs="宋体"/>
          <w:b/>
          <w:bCs/>
          <w:color w:val="FF0000"/>
          <w:sz w:val="36"/>
          <w:szCs w:val="36"/>
          <w:lang w:eastAsia="zh-CN"/>
        </w:rPr>
      </w:pPr>
    </w:p>
    <w:p w:rsidR="00E47CF2" w:rsidRDefault="00E47CF2">
      <w:pPr>
        <w:spacing w:before="7"/>
        <w:rPr>
          <w:rFonts w:ascii="黑体" w:eastAsia="黑体" w:hAnsi="黑体" w:cs="黑体"/>
          <w:b/>
          <w:bCs/>
          <w:sz w:val="13"/>
          <w:szCs w:val="13"/>
          <w:lang w:eastAsia="zh-CN"/>
        </w:rPr>
      </w:pPr>
    </w:p>
    <w:p w:rsidR="00E47CF2" w:rsidRDefault="00E47CF2">
      <w:pPr>
        <w:spacing w:before="4"/>
        <w:rPr>
          <w:rFonts w:ascii="黑体" w:eastAsia="黑体" w:hAnsi="黑体" w:cs="黑体"/>
          <w:b/>
          <w:bCs/>
          <w:sz w:val="13"/>
          <w:szCs w:val="13"/>
          <w:lang w:eastAsia="zh-CN"/>
        </w:rPr>
      </w:pPr>
    </w:p>
    <w:p w:rsidR="00E47CF2" w:rsidRDefault="00000000">
      <w:pPr>
        <w:pStyle w:val="1"/>
        <w:spacing w:before="240" w:after="240" w:line="360" w:lineRule="auto"/>
        <w:ind w:left="0" w:firstLineChars="200" w:firstLine="482"/>
        <w:rPr>
          <w:lang w:eastAsia="zh-CN"/>
        </w:rPr>
      </w:pPr>
      <w:r>
        <w:rPr>
          <w:rFonts w:hint="eastAsia"/>
          <w:lang w:eastAsia="zh-CN"/>
        </w:rPr>
        <w:t>重要内容提示：</w:t>
      </w:r>
    </w:p>
    <w:p w:rsidR="00E47CF2" w:rsidRDefault="00000000">
      <w:pPr>
        <w:numPr>
          <w:ilvl w:val="0"/>
          <w:numId w:val="1"/>
        </w:numPr>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授予日：2023年4月21日</w:t>
      </w:r>
    </w:p>
    <w:p w:rsidR="00E47CF2" w:rsidRDefault="00000000">
      <w:pPr>
        <w:numPr>
          <w:ilvl w:val="0"/>
          <w:numId w:val="1"/>
        </w:numPr>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授予数量：167.50万股</w:t>
      </w:r>
    </w:p>
    <w:p w:rsidR="00E47CF2" w:rsidRDefault="00000000">
      <w:pPr>
        <w:numPr>
          <w:ilvl w:val="0"/>
          <w:numId w:val="1"/>
        </w:numPr>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授予价格：13.93元/股</w:t>
      </w:r>
    </w:p>
    <w:p w:rsidR="00E47CF2" w:rsidRDefault="00000000">
      <w:pPr>
        <w:numPr>
          <w:ilvl w:val="0"/>
          <w:numId w:val="1"/>
        </w:numPr>
        <w:spacing w:line="360" w:lineRule="auto"/>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激励方式：第二类限制性股票</w:t>
      </w:r>
    </w:p>
    <w:p w:rsidR="00E47CF2" w:rsidRDefault="00000000">
      <w:pPr>
        <w:spacing w:beforeLines="100" w:before="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股份有限公司（以下简称“公司”）于2023年4月21日分别召开第三届董事会第二次会议和第三届监事会第二次会议，审议通过《关于向激励对象首次授予限制性股票的议案》。根据《上市公司股权激励管理办法》《科创板上市公司自律监管指南第4号—股权激励信息披露》《赛恩斯环保股份有限公司2023年限制性股票激励计划（草案）》等相关规定，董事会认为公司2023年限制性股票激励计划（以下简称“本激励计划”）规定的授予条件已经成就。根据公司2023年第三次临时股东大会的授权，董事会同意确定2023年4月21日作为首次授予日，向符合授予条件的121名激励对象共计授予167.50万股限制性股票，授予价格为13.93元/股。现将相关事项公告如下：</w:t>
      </w:r>
    </w:p>
    <w:p w:rsidR="00E47CF2" w:rsidRDefault="00000000">
      <w:pPr>
        <w:pStyle w:val="1"/>
        <w:spacing w:before="240" w:after="240" w:line="360" w:lineRule="auto"/>
        <w:ind w:left="0" w:firstLineChars="200" w:firstLine="482"/>
        <w:rPr>
          <w:rFonts w:asciiTheme="majorEastAsia" w:eastAsiaTheme="majorEastAsia" w:hAnsiTheme="majorEastAsia"/>
          <w:lang w:eastAsia="zh-CN"/>
        </w:rPr>
      </w:pPr>
      <w:r>
        <w:rPr>
          <w:rFonts w:hint="eastAsia"/>
          <w:lang w:eastAsia="zh-CN"/>
        </w:rPr>
        <w:t>一</w:t>
      </w:r>
      <w:r>
        <w:rPr>
          <w:lang w:eastAsia="zh-CN"/>
        </w:rPr>
        <w:t>、</w:t>
      </w:r>
      <w:r>
        <w:rPr>
          <w:rFonts w:hint="eastAsia"/>
          <w:lang w:eastAsia="zh-CN"/>
        </w:rPr>
        <w:t>限制性股票授予情况</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（一）</w:t>
      </w:r>
      <w:r>
        <w:rPr>
          <w:rFonts w:asciiTheme="majorEastAsia" w:eastAsiaTheme="majorEastAsia" w:hAnsiTheme="majorEastAsia" w:hint="eastAsia"/>
          <w:sz w:val="24"/>
          <w:szCs w:val="24"/>
          <w:lang w:eastAsia="zh-CN"/>
        </w:rPr>
        <w:t>本激励计划已履行的决策程序和信息披露情况</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1、2023年3月20日，公司召开第二届董事会第十九次会议，审议通过</w:t>
      </w:r>
      <w:r>
        <w:rPr>
          <w:rFonts w:asciiTheme="majorEastAsia" w:eastAsiaTheme="majorEastAsia" w:hAnsiTheme="majorEastAsia" w:hint="eastAsia"/>
          <w:sz w:val="24"/>
          <w:szCs w:val="24"/>
          <w:lang w:eastAsia="zh-CN"/>
        </w:rPr>
        <w:lastRenderedPageBreak/>
        <w:t>《关于&lt;2023年限制性股票激励计划（草案）&gt;及摘要的议案》《关于&lt;2023年限制性股票激励计划考核管理办法&gt;的议案》《关于提请股东大会授权董事会办理2023年限制性股票激励计划有关事项的议案》《关于提请召开2023年第三次临时股东大会的议案》。公司独立董事发表了独立意见。</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2023年3月20日，公司召开第二届监事会第十三次会议，审议通过《关于&lt;2023年限制性股票激励计划（草案）&gt;及摘要的议案》《关于&lt;2023年限制性股票激励计划考核管理办法&gt;的议案》《关于&lt;2023年限制性股票激励计划激励对象名单&gt;的议案》。</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2023年3月22日至2023年3月31日，公司内部公示本激励计划激励对象的姓名和职务。公示期满，公司监事会未收到任何书面异议、反馈记录。2023年4月1日，公司披露《赛恩斯环保股份有限公司监事会关于2023年限制性股票激励计划激励对象名单的审核意见及公示情况说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2023年4月7日，公司召开2023年第三次临时股东大会，审议通过《关于&lt;2023年限制性股票激励计划（草案）&gt;及摘要的议案》《关于&lt;2023年限制性股票激励计划考核管理办法&gt;的议案》《关于提请股东大会授权董事会办理2023年限制性股票激励计划有关事项的议案》。2023年4月8日，公司披露《赛恩斯环保股份有限公司关于2023年限制性股票激励计划内幕信息知情人买卖公司股票情况的自查报告》。</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2023年4月21日，公司分别召开第三届董事会第二次会议和第三届监事会第二次会议，审议通过《关于调整2023年限制性股票激励计划相关事项的议案》《关于向激励对象首次授予限制性股票的议案》。公司独立董事发表了独立意见。</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（二）本次授予事项与股东大会审议通过的激励计划的差异情况</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鉴于本激励计划首次授予的1名激励对象因个人原因自愿放弃其拟获授的全部限制性股票共计1.00万股，根据《上市公司股权激励管理办法》《科创板上市公司自律监管指南第4号—股权激励信息披露》《2023年限制性股票激励计划（草案）》等有关规定，公司对本激励计划授予的激励对象人数和限制性股票数量作出相应调整，首次授予的激励对象人数由122人调整为121人，首次授予的限制性股票数量由168.50万股调整为167.50万股，预留授予的限制性股票数量保持不变。</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除上述调整事项之外，本激励计划的其他内容与公司2023年第三次临时股东大会审议通过的激励计划一致。本次调整事项属于公司2023年第三次临时股东大会对董事会的授权范围内事项，无需再次提交股东大会审议。</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（三）董事会关于授予条件成就情况的说明，独立董事及监事会发表的明确意见</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1、董事会对本次授予是否满足条件的相关说明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根据《上市公司股权激励管理办法》《2023年限制性股票激励计划（草案）》的相关规定，同时满足下列条件的，公司应当向激励对象授予限制性股票：</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（1）公司未发生如下任一情形：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1）最近一个会计年度财务会计报告被注册会计师出具否定意见或者无法表示意见的审计报告；</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2）最近一个会计年度财务报告内部控制被注册会计师出具否定意见或者无法表示意见的审计报告；</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3）上市后最近36个月内出现过未按法律法规、公司章程、公开承诺进行利润分配的情形；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4）法律法规规定不得实行股权激励的；</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5）中国证监会认定的其他情形。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（2）激励对象未发生如下任一情形：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1）最近12个月内被证券交易所认定为不适当人选；</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2）最近12个月内被中国证监会及其派出机构认定为不适当人选；</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3）最近12个月内因重大违法违规行为被中国证监会及其派出机构行政处罚或者采取市场禁入措施；</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4）具有《公司法》规定的不得担任公司董事、高级管理人员情形的；</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5）法律法规规定不得参与上市公司股权激励的；</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6）中国证监会认定的其他情形。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董事会经过认真核查，认为公司及激励对象均未发生或不属于上述任一情形，本激励计划规定的授予条件已经成就。董事会同意确定2023年4月21日作为本激励计划的首次授予日，向符合授予条件的121名激励对象共计授予167.50万股限制性股票，授予价格为13.93元/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2、监事会对本次授予是否满足条件的相关说明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（1）公司不存在《上市公司股权激励管理办法》等规定的禁止实施股权激励计划的情形，公司具备实施股权激励计划的主体资格。</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激励对象符合《公司法》《证券法》《公司章程》规定的任职资格，符合《上海证券交易所科创板股票上市规则》规定的激励对象条件，符合《2023年限制性股票激励计划（草案）》规定的激励对象范围，主体资格合法、有效。</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（3）授予日符合《上市公司股权激励管理办法》《2023年限制性股票激励计划（草案）》的有关规定。</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综上，监事会认为本激励计划规定的授予条件已经成就，同意确定2023年4月21日作为首次授予日，向符合授予条件的121名激励对象共计授予167.50万股限制性股票，授予价格为13.93元/股。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3、独立董事对本次授予是否满足条件的相关说明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（1）公司不存在《上市公司股权激励管理办法》等规定的禁止实施股权激励计划的情形，公司具备实施股权激励计划的主体资格。</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激励对象符合《公司法》《证券法》《公司章程》规定的任职资格，符合《上海证券交易所科创板股票上市规则》规定的激励对象条件，符合《2023年限制性股票激励计划（草案）》规定的激励对象范围，主体资格合法、有效。</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（3）根据2023年第三次临时股东大会的授权，公司召开董事会确定本激励计划的首次授予日，符合《上市公司股权激励管理办法》《2023年限制性股票激励计划（草案）》的有关规定。</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（4）公司不存在向激励对象提供贷款、贷款担保或其他财务资助的计划或安排。</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（5）公司实施股权激励计划有利于增强激励对象的工作责任感、使命感，有利于公司的持续发展，不存在损害公司及全体股东利益的情形。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综上，全体独立董事一致认为本激励计划规定的授予条件已经成就，同意确定2023年4月21日作为首次授予日，向符合授予条件的121名激励对象共计授予167.50万股限制性股票，授予价格为13.93元/股。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（四）本次授予的具体情况</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1、授予日：2023年4月21日。</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2、授予数量：167.50万股。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3、授予人数：121人。</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4、授予价格：13.93元/股。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5、股票来源：公司向激励对象定向发行公司A股普通股。</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6、本激励计划的有效期、归属安排</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（1）有效期</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本激励计划的有效期为自限制性股票首次授予之日起至激励对象获授的限制性股票全部归属或作废失效之日止，最长不超过60个月</w:t>
      </w:r>
      <w:r>
        <w:rPr>
          <w:rFonts w:asciiTheme="majorEastAsia" w:eastAsiaTheme="majorEastAsia" w:hAnsiTheme="majorEastAsia" w:hint="eastAsia"/>
          <w:sz w:val="24"/>
          <w:szCs w:val="24"/>
          <w:lang w:eastAsia="zh-CN"/>
        </w:rPr>
        <w:t>。</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（2）归属安排</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限制性股票满足相应归属条件后可按照本激励计划的归属安排进行归属，应遵守中国证监会和</w:t>
      </w:r>
      <w:r>
        <w:rPr>
          <w:rFonts w:asciiTheme="majorEastAsia" w:eastAsiaTheme="majorEastAsia" w:hAnsiTheme="majorEastAsia" w:hint="eastAsia"/>
          <w:sz w:val="24"/>
          <w:szCs w:val="24"/>
          <w:lang w:eastAsia="zh-CN"/>
        </w:rPr>
        <w:t>上海</w:t>
      </w:r>
      <w:r>
        <w:rPr>
          <w:rFonts w:asciiTheme="majorEastAsia" w:eastAsiaTheme="majorEastAsia" w:hAnsiTheme="majorEastAsia"/>
          <w:sz w:val="24"/>
          <w:szCs w:val="24"/>
          <w:lang w:eastAsia="zh-CN"/>
        </w:rPr>
        <w:t>证券交易所的相关规定，归属日必须为交易日，且不得为下列区间日（相关规定发生变化的，自动适用变化后的规定）：</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1）公司年度报告、半年度报告公告前三十日内，因特殊原因推迟公告日期的，自原预约公告日前三十日起算；</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2）公司季度报告、业绩预告、业绩快报公告前十日内；</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3）自可能对公司股票及其衍生品种交易价格产生较大影响的重大事件发生之日或者进入决策程序之日至依法披露之日；</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4）中国证监会及</w:t>
      </w:r>
      <w:r>
        <w:rPr>
          <w:rFonts w:asciiTheme="majorEastAsia" w:eastAsiaTheme="majorEastAsia" w:hAnsiTheme="majorEastAsia" w:hint="eastAsia"/>
          <w:sz w:val="24"/>
          <w:szCs w:val="24"/>
          <w:lang w:eastAsia="zh-CN"/>
        </w:rPr>
        <w:t>上海</w:t>
      </w:r>
      <w:r>
        <w:rPr>
          <w:rFonts w:asciiTheme="majorEastAsia" w:eastAsiaTheme="majorEastAsia" w:hAnsiTheme="majorEastAsia"/>
          <w:sz w:val="24"/>
          <w:szCs w:val="24"/>
          <w:lang w:eastAsia="zh-CN"/>
        </w:rPr>
        <w:t>证券交易所规定的其他期间。</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本激励计划首次授予的限制性股票的归属安排如下：</w:t>
      </w:r>
    </w:p>
    <w:tbl>
      <w:tblPr>
        <w:tblW w:w="5000"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88"/>
        <w:gridCol w:w="4690"/>
        <w:gridCol w:w="1496"/>
      </w:tblGrid>
      <w:tr w:rsidR="00E47CF2">
        <w:trPr>
          <w:trHeight w:val="567"/>
          <w:jc w:val="center"/>
        </w:trPr>
        <w:tc>
          <w:tcPr>
            <w:tcW w:w="1261" w:type="pct"/>
            <w:tcBorders>
              <w:left w:val="single" w:sz="12"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归属安排</w:t>
            </w:r>
          </w:p>
        </w:tc>
        <w:tc>
          <w:tcPr>
            <w:tcW w:w="2833" w:type="pct"/>
            <w:tcBorders>
              <w:left w:val="single" w:sz="6"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归属期间</w:t>
            </w:r>
          </w:p>
        </w:tc>
        <w:tc>
          <w:tcPr>
            <w:tcW w:w="904" w:type="pct"/>
            <w:tcBorders>
              <w:left w:val="single" w:sz="6" w:space="0" w:color="000000"/>
              <w:bottom w:val="single" w:sz="6" w:space="0" w:color="000000"/>
              <w:right w:val="single" w:sz="12"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归属比例</w:t>
            </w:r>
          </w:p>
        </w:tc>
      </w:tr>
      <w:tr w:rsidR="00E47CF2">
        <w:trPr>
          <w:trHeight w:val="20"/>
          <w:jc w:val="center"/>
        </w:trPr>
        <w:tc>
          <w:tcPr>
            <w:tcW w:w="1261" w:type="pct"/>
            <w:tcBorders>
              <w:top w:val="single" w:sz="6" w:space="0" w:color="000000"/>
              <w:left w:val="single" w:sz="12"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第一个归属期</w:t>
            </w:r>
          </w:p>
        </w:tc>
        <w:tc>
          <w:tcPr>
            <w:tcW w:w="283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自首次授予之日起12个月后的首个交易日起至首次授予之日起24个月内的最后一个交易日当日止</w:t>
            </w:r>
          </w:p>
        </w:tc>
        <w:tc>
          <w:tcPr>
            <w:tcW w:w="904" w:type="pct"/>
            <w:tcBorders>
              <w:top w:val="single" w:sz="6" w:space="0" w:color="000000"/>
              <w:left w:val="single" w:sz="6" w:space="0" w:color="000000"/>
              <w:bottom w:val="single" w:sz="6" w:space="0" w:color="000000"/>
              <w:right w:val="single" w:sz="12"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sz w:val="21"/>
                <w:szCs w:val="21"/>
                <w:lang w:eastAsia="zh-CN"/>
              </w:rPr>
            </w:pPr>
            <w:r>
              <w:rPr>
                <w:rFonts w:ascii="宋体" w:eastAsia="宋体" w:hAnsi="宋体" w:cs="宋体" w:hint="eastAsia"/>
                <w:color w:val="000000"/>
                <w:sz w:val="21"/>
                <w:szCs w:val="21"/>
                <w:lang w:eastAsia="zh-CN"/>
              </w:rPr>
              <w:t>30</w:t>
            </w:r>
            <w:r>
              <w:rPr>
                <w:rFonts w:ascii="宋体" w:eastAsia="宋体" w:hAnsi="宋体" w:cs="宋体" w:hint="eastAsia"/>
                <w:sz w:val="21"/>
                <w:szCs w:val="21"/>
                <w:lang w:eastAsia="zh-CN"/>
              </w:rPr>
              <w:t>%</w:t>
            </w:r>
          </w:p>
        </w:tc>
      </w:tr>
      <w:tr w:rsidR="00E47CF2">
        <w:trPr>
          <w:trHeight w:val="20"/>
          <w:jc w:val="center"/>
        </w:trPr>
        <w:tc>
          <w:tcPr>
            <w:tcW w:w="1261" w:type="pct"/>
            <w:tcBorders>
              <w:top w:val="single" w:sz="6" w:space="0" w:color="000000"/>
              <w:left w:val="single" w:sz="12"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第二个归属期</w:t>
            </w:r>
          </w:p>
        </w:tc>
        <w:tc>
          <w:tcPr>
            <w:tcW w:w="2833" w:type="pct"/>
            <w:tcBorders>
              <w:top w:val="single" w:sz="6" w:space="0" w:color="000000"/>
              <w:left w:val="single" w:sz="6" w:space="0" w:color="000000"/>
              <w:bottom w:val="single" w:sz="6"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自首次授予之日起24个月后的首个交易日起至首次授予之日起36个月内的最后一个交易日当日止</w:t>
            </w:r>
          </w:p>
        </w:tc>
        <w:tc>
          <w:tcPr>
            <w:tcW w:w="904" w:type="pct"/>
            <w:tcBorders>
              <w:top w:val="single" w:sz="6" w:space="0" w:color="000000"/>
              <w:left w:val="single" w:sz="6" w:space="0" w:color="000000"/>
              <w:bottom w:val="single" w:sz="6" w:space="0" w:color="000000"/>
              <w:right w:val="single" w:sz="12"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sz w:val="21"/>
                <w:szCs w:val="21"/>
                <w:lang w:eastAsia="zh-CN"/>
              </w:rPr>
            </w:pPr>
            <w:r>
              <w:rPr>
                <w:rFonts w:ascii="宋体" w:eastAsia="宋体" w:hAnsi="宋体" w:cs="宋体" w:hint="eastAsia"/>
                <w:color w:val="000000"/>
                <w:sz w:val="21"/>
                <w:szCs w:val="21"/>
                <w:lang w:eastAsia="zh-CN"/>
              </w:rPr>
              <w:t>30</w:t>
            </w:r>
            <w:r>
              <w:rPr>
                <w:rFonts w:ascii="宋体" w:eastAsia="宋体" w:hAnsi="宋体" w:cs="宋体" w:hint="eastAsia"/>
                <w:sz w:val="21"/>
                <w:szCs w:val="21"/>
                <w:lang w:eastAsia="zh-CN"/>
              </w:rPr>
              <w:t>%</w:t>
            </w:r>
          </w:p>
        </w:tc>
      </w:tr>
      <w:tr w:rsidR="00E47CF2">
        <w:trPr>
          <w:trHeight w:val="20"/>
          <w:jc w:val="center"/>
        </w:trPr>
        <w:tc>
          <w:tcPr>
            <w:tcW w:w="1261" w:type="pct"/>
            <w:tcBorders>
              <w:top w:val="single" w:sz="6" w:space="0" w:color="000000"/>
              <w:left w:val="single" w:sz="12" w:space="0" w:color="000000"/>
              <w:bottom w:val="single" w:sz="12"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第三个归属期</w:t>
            </w:r>
          </w:p>
        </w:tc>
        <w:tc>
          <w:tcPr>
            <w:tcW w:w="2833" w:type="pct"/>
            <w:tcBorders>
              <w:top w:val="single" w:sz="6" w:space="0" w:color="000000"/>
              <w:left w:val="single" w:sz="6" w:space="0" w:color="000000"/>
              <w:bottom w:val="single" w:sz="12" w:space="0" w:color="000000"/>
              <w:right w:val="single" w:sz="6" w:space="0" w:color="000000"/>
            </w:tcBorders>
            <w:shd w:val="clear" w:color="auto" w:fill="auto"/>
            <w:vAlign w:val="center"/>
          </w:tcPr>
          <w:p w:rsidR="00E47CF2" w:rsidRDefault="00000000">
            <w:pPr>
              <w:autoSpaceDE w:val="0"/>
              <w:autoSpaceDN w:val="0"/>
              <w:adjustRightInd w:val="0"/>
              <w:spacing w:line="276"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自首次授予之日起36个月后的首个交易日起至首次授予之日起48个月内的最后一个交易日当日止</w:t>
            </w:r>
          </w:p>
        </w:tc>
        <w:tc>
          <w:tcPr>
            <w:tcW w:w="904" w:type="pct"/>
            <w:tcBorders>
              <w:top w:val="single" w:sz="6" w:space="0" w:color="000000"/>
              <w:left w:val="single" w:sz="6" w:space="0" w:color="000000"/>
              <w:bottom w:val="single" w:sz="12" w:space="0" w:color="000000"/>
              <w:right w:val="single" w:sz="12" w:space="0" w:color="000000"/>
            </w:tcBorders>
            <w:shd w:val="clear" w:color="auto" w:fill="auto"/>
            <w:vAlign w:val="center"/>
          </w:tcPr>
          <w:p w:rsidR="00E47CF2" w:rsidRDefault="00000000">
            <w:pPr>
              <w:autoSpaceDE w:val="0"/>
              <w:autoSpaceDN w:val="0"/>
              <w:adjustRightInd w:val="0"/>
              <w:spacing w:line="276"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40%</w:t>
            </w:r>
          </w:p>
        </w:tc>
      </w:tr>
    </w:tbl>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激励对象已获授但尚未归属的限制性股票由于资本公积转增股本、派发股票红利、股票拆细、配股而增加的权益同时受归属条件约束，且归属前不得转让、质押、抵押、担保、偿还债务等。届时，若相应部分的限制性股票不得归属的，则因前述原因获得的权益亦不得归属。</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lastRenderedPageBreak/>
        <w:t>归属期内，激励对象获授的限制性股票满足归属条件的，公司可按规定办理归属事项；未满足归属条件的限制性股票或者满足归属条件但激励对象未申请归属的限制性股票不得归属，并作废失效。</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7、激励对象名单及授予情况：</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4A0" w:firstRow="1" w:lastRow="0" w:firstColumn="1" w:lastColumn="0" w:noHBand="0" w:noVBand="1"/>
      </w:tblPr>
      <w:tblGrid>
        <w:gridCol w:w="767"/>
        <w:gridCol w:w="957"/>
        <w:gridCol w:w="2515"/>
        <w:gridCol w:w="1214"/>
        <w:gridCol w:w="1318"/>
        <w:gridCol w:w="1500"/>
      </w:tblGrid>
      <w:tr w:rsidR="00E47CF2">
        <w:trPr>
          <w:trHeight w:val="410"/>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序号</w:t>
            </w:r>
          </w:p>
        </w:tc>
        <w:tc>
          <w:tcPr>
            <w:tcW w:w="578"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姓名</w:t>
            </w:r>
          </w:p>
        </w:tc>
        <w:tc>
          <w:tcPr>
            <w:tcW w:w="1518"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职务</w:t>
            </w:r>
          </w:p>
        </w:tc>
        <w:tc>
          <w:tcPr>
            <w:tcW w:w="734"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获授数量</w:t>
            </w:r>
          </w:p>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（万股）</w:t>
            </w:r>
          </w:p>
        </w:tc>
        <w:tc>
          <w:tcPr>
            <w:tcW w:w="797"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占授予总量的比例</w:t>
            </w:r>
          </w:p>
        </w:tc>
        <w:tc>
          <w:tcPr>
            <w:tcW w:w="907" w:type="pct"/>
            <w:tcBorders>
              <w:tl2br w:val="nil"/>
              <w:tr2bl w:val="nil"/>
            </w:tcBorders>
            <w:shd w:val="clear" w:color="auto" w:fill="FFFFFF"/>
            <w:vAlign w:val="center"/>
          </w:tcPr>
          <w:p w:rsidR="00E47CF2" w:rsidRDefault="00000000">
            <w:pPr>
              <w:widowControl/>
              <w:jc w:val="center"/>
              <w:rPr>
                <w:rFonts w:ascii="宋体" w:eastAsia="宋体" w:hAnsi="宋体" w:cs="Times New Roman"/>
                <w:b/>
                <w:bCs/>
                <w:color w:val="000000"/>
                <w:sz w:val="21"/>
                <w:szCs w:val="21"/>
                <w:lang w:eastAsia="zh-CN"/>
              </w:rPr>
            </w:pPr>
            <w:r>
              <w:rPr>
                <w:rFonts w:ascii="宋体" w:eastAsia="宋体" w:hAnsi="宋体" w:cs="Times New Roman"/>
                <w:b/>
                <w:bCs/>
                <w:color w:val="000000"/>
                <w:sz w:val="21"/>
                <w:szCs w:val="21"/>
                <w:lang w:eastAsia="zh-CN"/>
              </w:rPr>
              <w:t>占公司总股本的比例</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1</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高伟荣</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董事长</w:t>
            </w:r>
            <w:r>
              <w:rPr>
                <w:rFonts w:ascii="宋体" w:eastAsia="宋体" w:hAnsi="宋体" w:cs="Times New Roman" w:hint="eastAsia"/>
                <w:sz w:val="21"/>
                <w:szCs w:val="21"/>
                <w:lang w:eastAsia="zh-CN"/>
              </w:rPr>
              <w:t>、核心技术人员</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2</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蒋国民</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董事、总经理</w:t>
            </w:r>
          </w:p>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核心技术人员</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3</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邱江传</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董事、</w:t>
            </w:r>
            <w:r>
              <w:rPr>
                <w:rFonts w:ascii="宋体" w:eastAsia="宋体" w:hAnsi="宋体" w:cs="Times New Roman" w:hint="eastAsia"/>
                <w:sz w:val="21"/>
                <w:szCs w:val="21"/>
                <w:lang w:eastAsia="zh-CN"/>
              </w:rPr>
              <w:t>董事会秘书</w:t>
            </w:r>
          </w:p>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副总经理</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4</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王朝晖</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董事、</w:t>
            </w:r>
            <w:r>
              <w:rPr>
                <w:rFonts w:ascii="宋体" w:eastAsia="宋体" w:hAnsi="宋体" w:cs="Times New Roman"/>
                <w:sz w:val="21"/>
                <w:szCs w:val="21"/>
                <w:lang w:eastAsia="zh-CN"/>
              </w:rPr>
              <w:t>财务总监</w:t>
            </w:r>
          </w:p>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副总经理</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5</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高亮云</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副总经理</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6</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黄剑波</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副总经理</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8.00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4.34%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0.08%</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7</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闫虎祥</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核心技术人员</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3.20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1.74%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0.03%</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8</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刘永丰</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核心技术人员</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3.20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1.74%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0.03%</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9</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孟云</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核心技术人员</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2.00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1.08%</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0.02%</w:t>
            </w:r>
          </w:p>
        </w:tc>
      </w:tr>
      <w:tr w:rsidR="00E47CF2">
        <w:trPr>
          <w:trHeight w:hRule="exact" w:val="851"/>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10</w:t>
            </w:r>
          </w:p>
        </w:tc>
        <w:tc>
          <w:tcPr>
            <w:tcW w:w="57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高时会</w:t>
            </w:r>
          </w:p>
        </w:tc>
        <w:tc>
          <w:tcPr>
            <w:tcW w:w="1518"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项目管理部副经理</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1.00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0.54%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0.01%</w:t>
            </w:r>
          </w:p>
        </w:tc>
      </w:tr>
      <w:tr w:rsidR="00E47CF2">
        <w:trPr>
          <w:trHeight w:val="330"/>
          <w:jc w:val="center"/>
        </w:trPr>
        <w:tc>
          <w:tcPr>
            <w:tcW w:w="463" w:type="pct"/>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11</w:t>
            </w:r>
          </w:p>
        </w:tc>
        <w:tc>
          <w:tcPr>
            <w:tcW w:w="2096" w:type="pct"/>
            <w:gridSpan w:val="2"/>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公司（含子公司）其他核心员工（</w:t>
            </w:r>
            <w:r>
              <w:rPr>
                <w:rFonts w:ascii="宋体" w:eastAsia="宋体" w:hAnsi="宋体" w:cs="Times New Roman" w:hint="eastAsia"/>
                <w:sz w:val="21"/>
                <w:szCs w:val="21"/>
                <w:lang w:eastAsia="zh-CN"/>
              </w:rPr>
              <w:t>111</w:t>
            </w:r>
            <w:r>
              <w:rPr>
                <w:rFonts w:ascii="宋体" w:eastAsia="宋体" w:hAnsi="宋体" w:cs="Times New Roman"/>
                <w:sz w:val="21"/>
                <w:szCs w:val="21"/>
                <w:lang w:eastAsia="zh-CN"/>
              </w:rPr>
              <w:t>人）</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110.10</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59.72%</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1.16%</w:t>
            </w:r>
          </w:p>
        </w:tc>
      </w:tr>
      <w:tr w:rsidR="00E47CF2">
        <w:trPr>
          <w:trHeight w:val="574"/>
          <w:jc w:val="center"/>
        </w:trPr>
        <w:tc>
          <w:tcPr>
            <w:tcW w:w="2560" w:type="pct"/>
            <w:gridSpan w:val="3"/>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hint="eastAsia"/>
                <w:color w:val="000000"/>
                <w:sz w:val="21"/>
                <w:szCs w:val="21"/>
                <w:lang w:eastAsia="zh-CN"/>
              </w:rPr>
              <w:t>预留</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16.85</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9.14%</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0.18%</w:t>
            </w:r>
          </w:p>
        </w:tc>
      </w:tr>
      <w:tr w:rsidR="00E47CF2">
        <w:trPr>
          <w:trHeight w:val="552"/>
          <w:jc w:val="center"/>
        </w:trPr>
        <w:tc>
          <w:tcPr>
            <w:tcW w:w="2560" w:type="pct"/>
            <w:gridSpan w:val="3"/>
            <w:tcBorders>
              <w:tl2br w:val="nil"/>
              <w:tr2bl w:val="nil"/>
            </w:tcBorders>
            <w:shd w:val="clear" w:color="auto" w:fill="FFFFFF"/>
            <w:vAlign w:val="center"/>
          </w:tcPr>
          <w:p w:rsidR="00E47CF2" w:rsidRDefault="00000000">
            <w:pPr>
              <w:widowControl/>
              <w:jc w:val="center"/>
              <w:rPr>
                <w:rFonts w:ascii="宋体" w:eastAsia="宋体" w:hAnsi="宋体" w:cs="Times New Roman"/>
                <w:color w:val="000000"/>
                <w:sz w:val="21"/>
                <w:szCs w:val="21"/>
                <w:lang w:eastAsia="zh-CN"/>
              </w:rPr>
            </w:pPr>
            <w:r>
              <w:rPr>
                <w:rFonts w:ascii="宋体" w:eastAsia="宋体" w:hAnsi="宋体" w:cs="Times New Roman"/>
                <w:color w:val="000000"/>
                <w:sz w:val="21"/>
                <w:szCs w:val="21"/>
                <w:lang w:eastAsia="zh-CN"/>
              </w:rPr>
              <w:t>合计</w:t>
            </w:r>
          </w:p>
        </w:tc>
        <w:tc>
          <w:tcPr>
            <w:tcW w:w="734"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hint="eastAsia"/>
                <w:sz w:val="21"/>
                <w:szCs w:val="21"/>
                <w:lang w:eastAsia="zh-CN"/>
              </w:rPr>
              <w:t>184</w:t>
            </w:r>
            <w:r>
              <w:rPr>
                <w:rFonts w:ascii="宋体" w:eastAsia="宋体" w:hAnsi="宋体" w:cs="Times New Roman"/>
                <w:sz w:val="21"/>
                <w:szCs w:val="21"/>
                <w:lang w:eastAsia="zh-CN"/>
              </w:rPr>
              <w:t>.</w:t>
            </w:r>
            <w:r>
              <w:rPr>
                <w:rFonts w:ascii="宋体" w:eastAsia="宋体" w:hAnsi="宋体" w:cs="Times New Roman" w:hint="eastAsia"/>
                <w:sz w:val="21"/>
                <w:szCs w:val="21"/>
                <w:lang w:eastAsia="zh-CN"/>
              </w:rPr>
              <w:t>35</w:t>
            </w:r>
          </w:p>
        </w:tc>
        <w:tc>
          <w:tcPr>
            <w:tcW w:w="79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100.00%</w:t>
            </w:r>
          </w:p>
        </w:tc>
        <w:tc>
          <w:tcPr>
            <w:tcW w:w="907" w:type="pct"/>
            <w:tcBorders>
              <w:tl2br w:val="nil"/>
              <w:tr2bl w:val="nil"/>
            </w:tcBorders>
            <w:shd w:val="clear" w:color="auto" w:fill="FFFFFF"/>
            <w:vAlign w:val="center"/>
          </w:tcPr>
          <w:p w:rsidR="00E47CF2" w:rsidRDefault="00000000">
            <w:pPr>
              <w:adjustRightInd w:val="0"/>
              <w:spacing w:line="312" w:lineRule="atLeast"/>
              <w:jc w:val="center"/>
              <w:textAlignment w:val="baseline"/>
              <w:rPr>
                <w:rFonts w:ascii="宋体" w:eastAsia="宋体" w:hAnsi="宋体" w:cs="Times New Roman"/>
                <w:sz w:val="21"/>
                <w:szCs w:val="21"/>
                <w:lang w:eastAsia="zh-CN"/>
              </w:rPr>
            </w:pPr>
            <w:r>
              <w:rPr>
                <w:rFonts w:ascii="宋体" w:eastAsia="宋体" w:hAnsi="宋体" w:cs="Times New Roman"/>
                <w:sz w:val="21"/>
                <w:szCs w:val="21"/>
                <w:lang w:eastAsia="zh-CN"/>
              </w:rPr>
              <w:t>1.</w:t>
            </w:r>
            <w:r>
              <w:rPr>
                <w:rFonts w:ascii="宋体" w:eastAsia="宋体" w:hAnsi="宋体" w:cs="Times New Roman" w:hint="eastAsia"/>
                <w:sz w:val="21"/>
                <w:szCs w:val="21"/>
                <w:lang w:eastAsia="zh-CN"/>
              </w:rPr>
              <w:t>94</w:t>
            </w:r>
            <w:r>
              <w:rPr>
                <w:rFonts w:ascii="宋体" w:eastAsia="宋体" w:hAnsi="宋体" w:cs="Times New Roman"/>
                <w:sz w:val="21"/>
                <w:szCs w:val="21"/>
                <w:lang w:eastAsia="zh-CN"/>
              </w:rPr>
              <w:t>%</w:t>
            </w:r>
          </w:p>
        </w:tc>
      </w:tr>
    </w:tbl>
    <w:p w:rsidR="00E47CF2" w:rsidRDefault="00000000">
      <w:pPr>
        <w:snapToGrid w:val="0"/>
        <w:spacing w:line="360" w:lineRule="auto"/>
        <w:jc w:val="both"/>
        <w:rPr>
          <w:rFonts w:ascii="宋体" w:eastAsia="宋体" w:hAnsi="宋体" w:cs="宋体"/>
          <w:b/>
          <w:bCs/>
          <w:color w:val="000000"/>
          <w:kern w:val="44"/>
          <w:sz w:val="28"/>
          <w:szCs w:val="28"/>
          <w:lang w:eastAsia="zh-CN"/>
        </w:rPr>
      </w:pPr>
      <w:r>
        <w:rPr>
          <w:rFonts w:ascii="宋体" w:eastAsia="宋体" w:hAnsi="宋体" w:cs="宋体" w:hint="eastAsia"/>
          <w:kern w:val="2"/>
          <w:sz w:val="18"/>
          <w:szCs w:val="18"/>
          <w:lang w:eastAsia="zh-CN"/>
        </w:rPr>
        <w:t>注：以上合计数据与各明细数据相加之和在尾数上如有差异，系四舍五入所致。</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8、本次授予事项不会导致公司股权分布不符合上市条件。</w:t>
      </w:r>
    </w:p>
    <w:p w:rsidR="00E47CF2" w:rsidRDefault="00000000">
      <w:pPr>
        <w:pStyle w:val="1"/>
        <w:spacing w:before="240" w:after="240" w:line="360" w:lineRule="auto"/>
        <w:ind w:left="0" w:firstLineChars="200" w:firstLine="482"/>
        <w:rPr>
          <w:lang w:eastAsia="zh-CN"/>
        </w:rPr>
      </w:pPr>
      <w:r>
        <w:rPr>
          <w:rFonts w:hint="eastAsia"/>
          <w:lang w:eastAsia="zh-CN"/>
        </w:rPr>
        <w:lastRenderedPageBreak/>
        <w:t>二、监事会对激励对象名单核实的情况</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激励对象符合《公司法》《证券法》《公司章程》规定的任职资格；符合《上海证券交易所科创板股票上市规则》规定的激励对象条件，包括：1、不存在最近12个月内被证券交易所认定为不适当人选的情形；2、不存在最近12个月内被中国证监会及其派出机构认定为不适当人选的情形；3、不存在最近12个月内因重大违法违规行为被中国证监会及其派出机构行政处罚或者采取市场禁入措施的情形；4、不存在具有《公司法》规定的不得担任公司董事、高级管理人员情形的情形；5、不存在具有法律法规规定不得参与上市公司股权激励的情形；6、不存在中国证监会认定的其他情形。</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（二）激励对象包括公司董事、高级管理人员、核心技术人员以及公司（含子公司）其他核心员工，不包括公司独立董事和监事，符合本激励计划规定的激励对象范围，符合本激励计划的实施目的。</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综上，本激励计划首次授予激励对象的主体资格合法、有效。</w:t>
      </w:r>
    </w:p>
    <w:p w:rsidR="00E47CF2" w:rsidRDefault="00000000">
      <w:pPr>
        <w:pStyle w:val="1"/>
        <w:spacing w:before="240" w:after="240" w:line="360" w:lineRule="auto"/>
        <w:ind w:left="0" w:firstLineChars="200" w:firstLine="482"/>
        <w:rPr>
          <w:lang w:eastAsia="zh-CN"/>
        </w:rPr>
      </w:pPr>
      <w:r>
        <w:rPr>
          <w:rFonts w:hint="eastAsia"/>
          <w:lang w:eastAsia="zh-CN"/>
        </w:rPr>
        <w:t>三、激励对象为董事、高级管理人员的，在限制性股票授予日前6个月卖出公司股票情况的说明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本次获授限制性股票的公司董事、高级管理人员在授予日前6个月均不存在卖出公司股票的情况。</w:t>
      </w:r>
    </w:p>
    <w:p w:rsidR="00E47CF2" w:rsidRDefault="00000000">
      <w:pPr>
        <w:pStyle w:val="1"/>
        <w:spacing w:before="240" w:after="240" w:line="360" w:lineRule="auto"/>
        <w:ind w:left="0" w:firstLineChars="200" w:firstLine="482"/>
        <w:rPr>
          <w:lang w:eastAsia="zh-CN"/>
        </w:rPr>
      </w:pPr>
      <w:r>
        <w:rPr>
          <w:rFonts w:hint="eastAsia"/>
          <w:lang w:eastAsia="zh-CN"/>
        </w:rPr>
        <w:t>四、会计处理方法与业绩影响测算</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（一）本激励计划的会计处理方法</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1、授予日</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第二类限制性股票于授予日尚不能归属，因此不需要进行相关会计处理。公司将于授予日采用Black-Scholes模型确定第二类限制性股票的公允价值。</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2、归属日前</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公司于归属日前的每个资产负债表日，以对可归属的第二类限制性股票数量的最佳估算为基础，按照授予日第二类限制性股票的公允价值和第二类限制性股票的归属安排将取得员工提供的服务计入成本费用，同时确认所有者权益“资本公积—其他资本公积”，不确认其后续公允价值变动。</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3、可归属日之后</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不再对已确认的成本费用和所有者权益总额进行调整。</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4、归属日</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在归属日，满足归属条件的第二类限制性股票可以归属，结转归属日前每个资产负债表日确认的“资本公积—其他资本公积”；未满足归属条件的第二类限制性股票不得归属，并作废失效，相应减少所有者权益。</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（二）限制性股票公允价值的确定方法</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根据《企业会计准则第11号—股份支付》《企业会计准则第22号—金融工具确认和计量》的有关规定，公司选择Black-Scholes模型计算第二类限制性股票于授予日的公允价值，公司已确定本激励计划的首次授予日为2023年4月21日，具体参数选取如下：</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1、标的股价：29.56元/股（授予日公司股票收盘价）；</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2、有效期：1年、2年、3年（限制性股票授予之日至每期可归属日的期限）；</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3、历史波动率：14.99%、15.04%、15.86%（上证指数最近1年、2年、3年的年化波动率）；</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4、无风险利率：1.50%、2.10%、2.75%（中国人民银行制定的金融机构1年期、2年期、3年期人民币存款基准利率）；</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5、股息率：0%。</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（三）本次授予事项预计对公司各期经营业绩的影响</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本激励计划首次授予限制性股票共计167.50万股，产生的激励成本将在本激励计划的实施过程中根据归属安排分期摊销，预计对公司相关期间经营业绩的影响如下：</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9"/>
        <w:gridCol w:w="1612"/>
        <w:gridCol w:w="1612"/>
        <w:gridCol w:w="1609"/>
        <w:gridCol w:w="1609"/>
      </w:tblGrid>
      <w:tr w:rsidR="00E47CF2">
        <w:trPr>
          <w:trHeight w:val="780"/>
          <w:jc w:val="center"/>
        </w:trPr>
        <w:tc>
          <w:tcPr>
            <w:tcW w:w="1105" w:type="pct"/>
            <w:tcBorders>
              <w:tl2br w:val="nil"/>
              <w:tr2bl w:val="nil"/>
            </w:tcBorders>
            <w:vAlign w:val="center"/>
          </w:tcPr>
          <w:p w:rsidR="00E47CF2" w:rsidRDefault="00000000">
            <w:pPr>
              <w:ind w:leftChars="-53" w:left="-117" w:right="-102"/>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激励总成本</w:t>
            </w:r>
          </w:p>
          <w:p w:rsidR="00E47CF2" w:rsidRDefault="00000000">
            <w:pPr>
              <w:ind w:leftChars="-53" w:left="-117" w:right="-102"/>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（万元）</w:t>
            </w:r>
          </w:p>
        </w:tc>
        <w:tc>
          <w:tcPr>
            <w:tcW w:w="974" w:type="pct"/>
            <w:tcBorders>
              <w:tl2br w:val="nil"/>
              <w:tr2bl w:val="nil"/>
            </w:tcBorders>
            <w:vAlign w:val="center"/>
          </w:tcPr>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2023年</w:t>
            </w:r>
          </w:p>
          <w:p w:rsidR="00E47CF2" w:rsidRDefault="00000000">
            <w:pPr>
              <w:ind w:right="-153"/>
              <w:jc w:val="center"/>
              <w:rPr>
                <w:rFonts w:ascii="宋体" w:eastAsia="宋体" w:hAnsi="宋体" w:cs="宋体"/>
                <w:b/>
                <w:color w:val="000000"/>
                <w:kern w:val="2"/>
                <w:sz w:val="21"/>
                <w:szCs w:val="24"/>
                <w:lang w:eastAsia="zh-CN"/>
              </w:rPr>
            </w:pPr>
            <w:r>
              <w:rPr>
                <w:rFonts w:ascii="宋体" w:eastAsia="宋体" w:hAnsi="宋体" w:cs="宋体" w:hint="eastAsia"/>
                <w:b/>
                <w:color w:val="000000"/>
                <w:kern w:val="2"/>
                <w:sz w:val="21"/>
                <w:lang w:eastAsia="zh-CN"/>
              </w:rPr>
              <w:t>（万元）</w:t>
            </w:r>
          </w:p>
        </w:tc>
        <w:tc>
          <w:tcPr>
            <w:tcW w:w="974" w:type="pct"/>
            <w:tcBorders>
              <w:tl2br w:val="nil"/>
              <w:tr2bl w:val="nil"/>
            </w:tcBorders>
            <w:vAlign w:val="center"/>
          </w:tcPr>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2024年</w:t>
            </w:r>
          </w:p>
          <w:p w:rsidR="00E47CF2" w:rsidRDefault="00000000">
            <w:pPr>
              <w:ind w:right="-153"/>
              <w:jc w:val="center"/>
              <w:rPr>
                <w:rFonts w:ascii="宋体" w:eastAsia="宋体" w:hAnsi="宋体" w:cs="宋体"/>
                <w:b/>
                <w:color w:val="000000"/>
                <w:kern w:val="2"/>
                <w:sz w:val="21"/>
                <w:szCs w:val="24"/>
                <w:lang w:eastAsia="zh-CN"/>
              </w:rPr>
            </w:pPr>
            <w:r>
              <w:rPr>
                <w:rFonts w:ascii="宋体" w:eastAsia="宋体" w:hAnsi="宋体" w:cs="宋体" w:hint="eastAsia"/>
                <w:b/>
                <w:color w:val="000000"/>
                <w:kern w:val="2"/>
                <w:sz w:val="21"/>
                <w:lang w:eastAsia="zh-CN"/>
              </w:rPr>
              <w:t>（万元）</w:t>
            </w:r>
          </w:p>
        </w:tc>
        <w:tc>
          <w:tcPr>
            <w:tcW w:w="972" w:type="pct"/>
            <w:tcBorders>
              <w:tl2br w:val="nil"/>
              <w:tr2bl w:val="nil"/>
            </w:tcBorders>
            <w:vAlign w:val="center"/>
          </w:tcPr>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2025年</w:t>
            </w:r>
          </w:p>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（万元）</w:t>
            </w:r>
          </w:p>
        </w:tc>
        <w:tc>
          <w:tcPr>
            <w:tcW w:w="972" w:type="pct"/>
            <w:tcBorders>
              <w:tl2br w:val="nil"/>
              <w:tr2bl w:val="nil"/>
            </w:tcBorders>
            <w:vAlign w:val="center"/>
          </w:tcPr>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2026年</w:t>
            </w:r>
          </w:p>
          <w:p w:rsidR="00E47CF2" w:rsidRDefault="00000000">
            <w:pPr>
              <w:ind w:right="-153"/>
              <w:jc w:val="center"/>
              <w:rPr>
                <w:rFonts w:ascii="宋体" w:eastAsia="宋体" w:hAnsi="宋体" w:cs="宋体"/>
                <w:b/>
                <w:color w:val="000000"/>
                <w:kern w:val="2"/>
                <w:sz w:val="21"/>
                <w:lang w:eastAsia="zh-CN"/>
              </w:rPr>
            </w:pPr>
            <w:r>
              <w:rPr>
                <w:rFonts w:ascii="宋体" w:eastAsia="宋体" w:hAnsi="宋体" w:cs="宋体" w:hint="eastAsia"/>
                <w:b/>
                <w:color w:val="000000"/>
                <w:kern w:val="2"/>
                <w:sz w:val="21"/>
                <w:lang w:eastAsia="zh-CN"/>
              </w:rPr>
              <w:t>（万元）</w:t>
            </w:r>
          </w:p>
        </w:tc>
      </w:tr>
      <w:tr w:rsidR="00E47CF2">
        <w:trPr>
          <w:trHeight w:val="464"/>
          <w:jc w:val="center"/>
        </w:trPr>
        <w:tc>
          <w:tcPr>
            <w:tcW w:w="1829" w:type="dxa"/>
            <w:tcBorders>
              <w:tl2br w:val="nil"/>
              <w:tr2bl w:val="nil"/>
            </w:tcBorders>
            <w:vAlign w:val="center"/>
          </w:tcPr>
          <w:p w:rsidR="00E47CF2" w:rsidRDefault="00000000">
            <w:pPr>
              <w:widowControl/>
              <w:jc w:val="center"/>
              <w:textAlignment w:val="center"/>
              <w:rPr>
                <w:rFonts w:ascii="宋体" w:eastAsia="宋体" w:hAnsi="宋体" w:cs="宋体"/>
                <w:kern w:val="2"/>
                <w:sz w:val="21"/>
                <w:szCs w:val="21"/>
                <w:lang w:eastAsia="zh-CN"/>
              </w:rPr>
            </w:pPr>
            <w:r>
              <w:rPr>
                <w:rFonts w:ascii="宋体" w:eastAsia="宋体" w:hAnsi="宋体" w:cs="宋体" w:hint="eastAsia"/>
                <w:color w:val="000000"/>
                <w:sz w:val="21"/>
                <w:szCs w:val="21"/>
                <w:lang w:eastAsia="zh-CN" w:bidi="ar"/>
              </w:rPr>
              <w:t>2,731.27</w:t>
            </w:r>
          </w:p>
        </w:tc>
        <w:tc>
          <w:tcPr>
            <w:tcW w:w="1612" w:type="dxa"/>
            <w:tcBorders>
              <w:tl2br w:val="nil"/>
              <w:tr2bl w:val="nil"/>
            </w:tcBorders>
            <w:vAlign w:val="center"/>
          </w:tcPr>
          <w:p w:rsidR="00E47CF2" w:rsidRDefault="00000000">
            <w:pPr>
              <w:widowControl/>
              <w:jc w:val="center"/>
              <w:textAlignment w:val="center"/>
              <w:rPr>
                <w:rFonts w:ascii="宋体" w:eastAsia="宋体" w:hAnsi="宋体" w:cs="宋体"/>
                <w:kern w:val="2"/>
                <w:sz w:val="21"/>
                <w:szCs w:val="21"/>
                <w:lang w:eastAsia="zh-CN"/>
              </w:rPr>
            </w:pPr>
            <w:r>
              <w:rPr>
                <w:rFonts w:ascii="宋体" w:eastAsia="宋体" w:hAnsi="宋体" w:cs="宋体" w:hint="eastAsia"/>
                <w:color w:val="000000"/>
                <w:sz w:val="21"/>
                <w:szCs w:val="21"/>
                <w:lang w:eastAsia="zh-CN" w:bidi="ar"/>
              </w:rPr>
              <w:t>1,051.12</w:t>
            </w:r>
          </w:p>
        </w:tc>
        <w:tc>
          <w:tcPr>
            <w:tcW w:w="1612" w:type="dxa"/>
            <w:tcBorders>
              <w:tl2br w:val="nil"/>
              <w:tr2bl w:val="nil"/>
            </w:tcBorders>
            <w:vAlign w:val="center"/>
          </w:tcPr>
          <w:p w:rsidR="00E47CF2" w:rsidRDefault="00000000">
            <w:pPr>
              <w:widowControl/>
              <w:jc w:val="center"/>
              <w:textAlignment w:val="center"/>
              <w:rPr>
                <w:rFonts w:ascii="宋体" w:eastAsia="宋体" w:hAnsi="宋体" w:cs="宋体"/>
                <w:kern w:val="2"/>
                <w:sz w:val="21"/>
                <w:szCs w:val="21"/>
                <w:lang w:eastAsia="zh-CN"/>
              </w:rPr>
            </w:pPr>
            <w:r>
              <w:rPr>
                <w:rFonts w:ascii="宋体" w:eastAsia="宋体" w:hAnsi="宋体" w:cs="宋体" w:hint="eastAsia"/>
                <w:color w:val="000000"/>
                <w:sz w:val="21"/>
                <w:szCs w:val="21"/>
                <w:lang w:eastAsia="zh-CN" w:bidi="ar"/>
              </w:rPr>
              <w:t>1,046.12</w:t>
            </w:r>
          </w:p>
        </w:tc>
        <w:tc>
          <w:tcPr>
            <w:tcW w:w="1609" w:type="dxa"/>
            <w:tcBorders>
              <w:tl2br w:val="nil"/>
              <w:tr2bl w:val="nil"/>
            </w:tcBorders>
            <w:vAlign w:val="center"/>
          </w:tcPr>
          <w:p w:rsidR="00E47CF2" w:rsidRDefault="00000000">
            <w:pPr>
              <w:widowControl/>
              <w:jc w:val="center"/>
              <w:textAlignment w:val="center"/>
              <w:rPr>
                <w:rFonts w:ascii="宋体" w:eastAsia="宋体" w:hAnsi="宋体" w:cs="宋体"/>
                <w:kern w:val="2"/>
                <w:sz w:val="21"/>
                <w:szCs w:val="21"/>
                <w:lang w:eastAsia="zh-CN"/>
              </w:rPr>
            </w:pPr>
            <w:r>
              <w:rPr>
                <w:rFonts w:ascii="宋体" w:eastAsia="宋体" w:hAnsi="宋体" w:cs="宋体" w:hint="eastAsia"/>
                <w:color w:val="000000"/>
                <w:sz w:val="21"/>
                <w:szCs w:val="21"/>
                <w:lang w:eastAsia="zh-CN" w:bidi="ar"/>
              </w:rPr>
              <w:t>509.45</w:t>
            </w:r>
          </w:p>
        </w:tc>
        <w:tc>
          <w:tcPr>
            <w:tcW w:w="1609" w:type="dxa"/>
            <w:tcBorders>
              <w:tl2br w:val="nil"/>
              <w:tr2bl w:val="nil"/>
            </w:tcBorders>
            <w:vAlign w:val="center"/>
          </w:tcPr>
          <w:p w:rsidR="00E47CF2" w:rsidRDefault="00000000">
            <w:pPr>
              <w:widowControl/>
              <w:jc w:val="center"/>
              <w:textAlignment w:val="center"/>
              <w:rPr>
                <w:rFonts w:ascii="宋体" w:eastAsia="宋体" w:hAnsi="宋体" w:cs="宋体"/>
                <w:kern w:val="2"/>
                <w:sz w:val="21"/>
                <w:szCs w:val="21"/>
                <w:lang w:eastAsia="zh-CN"/>
              </w:rPr>
            </w:pPr>
            <w:r>
              <w:rPr>
                <w:rFonts w:ascii="宋体" w:eastAsia="宋体" w:hAnsi="宋体" w:cs="宋体" w:hint="eastAsia"/>
                <w:color w:val="000000"/>
                <w:sz w:val="21"/>
                <w:szCs w:val="21"/>
                <w:lang w:eastAsia="zh-CN" w:bidi="ar"/>
              </w:rPr>
              <w:t>124.58</w:t>
            </w:r>
          </w:p>
        </w:tc>
      </w:tr>
    </w:tbl>
    <w:p w:rsidR="00E47CF2" w:rsidRDefault="00000000">
      <w:pPr>
        <w:spacing w:line="360" w:lineRule="auto"/>
        <w:ind w:right="-153"/>
        <w:jc w:val="both"/>
        <w:rPr>
          <w:rFonts w:ascii="宋体" w:eastAsia="宋体" w:hAnsi="宋体" w:cs="宋体"/>
          <w:kern w:val="2"/>
          <w:sz w:val="18"/>
          <w:szCs w:val="18"/>
          <w:lang w:eastAsia="zh-CN"/>
        </w:rPr>
      </w:pPr>
      <w:bookmarkStart w:id="0" w:name="_Hlk3733039"/>
      <w:r>
        <w:rPr>
          <w:rFonts w:ascii="宋体" w:eastAsia="宋体" w:hAnsi="宋体" w:cs="宋体" w:hint="eastAsia"/>
          <w:kern w:val="2"/>
          <w:sz w:val="18"/>
          <w:szCs w:val="18"/>
          <w:lang w:eastAsia="zh-CN"/>
        </w:rPr>
        <w:t>注：1、上述预计结果并不代表本激励计划最终的会计成本。实际会计成本除与实际授予日情况有关之外，还与实际生效和失效的限制性股票数量有关，同时提请股东注意可能产生的摊薄影响。</w:t>
      </w:r>
    </w:p>
    <w:p w:rsidR="00E47CF2" w:rsidRDefault="00000000">
      <w:pPr>
        <w:spacing w:line="360" w:lineRule="auto"/>
        <w:ind w:right="-153" w:firstLineChars="200" w:firstLine="360"/>
        <w:jc w:val="both"/>
        <w:rPr>
          <w:rFonts w:asciiTheme="majorEastAsia" w:eastAsiaTheme="majorEastAsia" w:hAnsiTheme="majorEastAsia"/>
          <w:sz w:val="24"/>
          <w:szCs w:val="24"/>
          <w:lang w:eastAsia="zh-CN"/>
        </w:rPr>
      </w:pPr>
      <w:r>
        <w:rPr>
          <w:rFonts w:ascii="宋体" w:eastAsia="宋体" w:hAnsi="宋体" w:cs="宋体" w:hint="eastAsia"/>
          <w:kern w:val="2"/>
          <w:sz w:val="18"/>
          <w:szCs w:val="18"/>
          <w:lang w:eastAsia="zh-CN"/>
        </w:rPr>
        <w:t>2、实施本激励计划产生的激励成本对公司经营业绩的影响将以会计师事务所出具的年度审计报告为准。</w:t>
      </w:r>
      <w:bookmarkEnd w:id="0"/>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经初步预计，一方面，实施本激励计划产生的激励成本将对公司相关期间的经营业绩有所影响；另一方面，实施本激励计划能够有效激发激励对象的工</w:t>
      </w:r>
      <w:r>
        <w:rPr>
          <w:rFonts w:asciiTheme="majorEastAsia" w:eastAsiaTheme="majorEastAsia" w:hAnsiTheme="majorEastAsia" w:hint="eastAsia"/>
          <w:sz w:val="24"/>
          <w:szCs w:val="24"/>
          <w:lang w:eastAsia="zh-CN"/>
        </w:rPr>
        <w:lastRenderedPageBreak/>
        <w:t>作积极性和创造性，从而提高公司的经营效率，提升公司的内在价值。</w:t>
      </w:r>
    </w:p>
    <w:p w:rsidR="00E47CF2" w:rsidRDefault="00000000">
      <w:pPr>
        <w:pStyle w:val="1"/>
        <w:spacing w:before="240" w:after="240" w:line="360" w:lineRule="auto"/>
        <w:ind w:left="0" w:firstLineChars="200" w:firstLine="482"/>
        <w:rPr>
          <w:lang w:eastAsia="zh-CN"/>
        </w:rPr>
      </w:pPr>
      <w:r>
        <w:rPr>
          <w:rFonts w:hint="eastAsia"/>
          <w:lang w:eastAsia="zh-CN"/>
        </w:rPr>
        <w:t>五、法律意见书的结论性意见</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上海市锦天城律师事务所认为：</w:t>
      </w:r>
      <w:r w:rsidR="00B52C41" w:rsidRPr="00B52C41">
        <w:rPr>
          <w:rFonts w:asciiTheme="majorEastAsia" w:eastAsiaTheme="majorEastAsia" w:hAnsiTheme="majorEastAsia" w:hint="eastAsia"/>
          <w:sz w:val="24"/>
          <w:szCs w:val="24"/>
          <w:lang w:eastAsia="zh-CN"/>
        </w:rPr>
        <w:t>截至本法律意见书出具之日，公司本次调整及授予相关事项已经获得了现阶段必要的批准和授权；本激励计划授予的激励对象人数和限制性股票数量的调整符合《管理办法》及本激励计划的有关规定；本次激励对象名单以及本次授予的授予日、授予对象和授予数量符合《管理办法》及本激励计划的有关规定；公司本次授予的授予条件已经满足，符合《管理办法》及本激励计划的有关规定。公司尚需按照相关法律、法规、规章及规范性文件的规定履行相应的信息披露义务，并向证券登记结算机构办理有关登记手续等事宜。</w:t>
      </w:r>
    </w:p>
    <w:p w:rsidR="00E47CF2" w:rsidRDefault="00000000">
      <w:pPr>
        <w:pStyle w:val="1"/>
        <w:spacing w:before="240" w:after="240" w:line="360" w:lineRule="auto"/>
        <w:ind w:left="0" w:firstLineChars="200" w:firstLine="482"/>
        <w:rPr>
          <w:lang w:eastAsia="zh-CN"/>
        </w:rPr>
      </w:pPr>
      <w:r>
        <w:rPr>
          <w:rFonts w:hint="eastAsia"/>
          <w:lang w:eastAsia="zh-CN"/>
        </w:rPr>
        <w:t>六、独立财务顾问报告的结论性意见</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深圳市他山企业管理咨询有限公司认为：截至独立财务顾问报告出具日，公司和本激励计划首次授予的激励对象均符合《2023年限制性股票激励计划（草案）》规定的授予条件，本次调整及授予事项已经履行必要的审议程序和信息披露义务，符合《上市公司股权激励管理办法》《科创板上市公司自律监管指南第4号—股权激励信息披露》《2023年限制性股票激励计划（草案）》等相关规定。</w:t>
      </w:r>
    </w:p>
    <w:p w:rsidR="00E47CF2"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特此公告</w:t>
      </w:r>
    </w:p>
    <w:p w:rsidR="00E47CF2" w:rsidRDefault="00E47CF2">
      <w:pPr>
        <w:spacing w:line="360" w:lineRule="auto"/>
        <w:ind w:left="284" w:right="284"/>
        <w:jc w:val="right"/>
        <w:rPr>
          <w:rFonts w:asciiTheme="majorEastAsia" w:eastAsiaTheme="majorEastAsia" w:hAnsiTheme="majorEastAsia"/>
          <w:sz w:val="24"/>
          <w:szCs w:val="24"/>
          <w:lang w:eastAsia="zh-CN"/>
        </w:rPr>
      </w:pPr>
    </w:p>
    <w:p w:rsidR="00E47CF2" w:rsidRDefault="00E47CF2">
      <w:pPr>
        <w:spacing w:line="360" w:lineRule="auto"/>
        <w:ind w:left="284" w:right="284"/>
        <w:jc w:val="right"/>
        <w:rPr>
          <w:rFonts w:asciiTheme="majorEastAsia" w:eastAsiaTheme="majorEastAsia" w:hAnsiTheme="majorEastAsia"/>
          <w:sz w:val="24"/>
          <w:szCs w:val="24"/>
          <w:lang w:eastAsia="zh-CN"/>
        </w:rPr>
      </w:pPr>
    </w:p>
    <w:p w:rsidR="00E47CF2" w:rsidRDefault="00E47CF2">
      <w:pPr>
        <w:spacing w:line="360" w:lineRule="auto"/>
        <w:ind w:left="284" w:right="284"/>
        <w:jc w:val="right"/>
        <w:rPr>
          <w:rFonts w:asciiTheme="majorEastAsia" w:eastAsiaTheme="majorEastAsia" w:hAnsiTheme="majorEastAsia"/>
          <w:sz w:val="24"/>
          <w:szCs w:val="24"/>
          <w:lang w:eastAsia="zh-CN"/>
        </w:rPr>
      </w:pPr>
    </w:p>
    <w:p w:rsidR="00E47CF2"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赛恩斯环保股份有限公司董事会</w:t>
      </w:r>
    </w:p>
    <w:p w:rsidR="00E47CF2" w:rsidRDefault="00000000">
      <w:pPr>
        <w:spacing w:line="360" w:lineRule="auto"/>
        <w:ind w:left="283" w:right="283"/>
        <w:jc w:val="right"/>
        <w:rPr>
          <w:rFonts w:ascii="宋体" w:eastAsia="宋体" w:hAnsi="宋体" w:cs="Times New Roman"/>
          <w:kern w:val="2"/>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月</w:t>
      </w: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5日</w:t>
      </w:r>
    </w:p>
    <w:sectPr w:rsidR="00E47CF2">
      <w:footerReference w:type="default" r:id="rId8"/>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C9B" w:rsidRDefault="00264C9B">
      <w:r>
        <w:separator/>
      </w:r>
    </w:p>
  </w:endnote>
  <w:endnote w:type="continuationSeparator" w:id="0">
    <w:p w:rsidR="00264C9B" w:rsidRDefault="0026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CF2"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rsidR="00E47CF2"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rsidR="00E47CF2"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C9B" w:rsidRDefault="00264C9B">
      <w:r>
        <w:separator/>
      </w:r>
    </w:p>
  </w:footnote>
  <w:footnote w:type="continuationSeparator" w:id="0">
    <w:p w:rsidR="00264C9B" w:rsidRDefault="00264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12845"/>
    <w:multiLevelType w:val="singleLevel"/>
    <w:tmpl w:val="FD212845"/>
    <w:lvl w:ilvl="0">
      <w:start w:val="1"/>
      <w:numFmt w:val="bullet"/>
      <w:lvlText w:val=""/>
      <w:lvlJc w:val="left"/>
      <w:pPr>
        <w:ind w:left="420" w:hanging="420"/>
      </w:pPr>
      <w:rPr>
        <w:rFonts w:ascii="Wingdings" w:hAnsi="Wingdings" w:hint="default"/>
      </w:rPr>
    </w:lvl>
  </w:abstractNum>
  <w:num w:numId="1" w16cid:durableId="180723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2MGYyOTlkYjA2ZDAxZjg0NDRhMTg5NzM1YjYzN2EifQ=="/>
  </w:docVars>
  <w:rsids>
    <w:rsidRoot w:val="003F085C"/>
    <w:rsid w:val="FF77C15C"/>
    <w:rsid w:val="00000BBD"/>
    <w:rsid w:val="00000F10"/>
    <w:rsid w:val="000134C7"/>
    <w:rsid w:val="000272BF"/>
    <w:rsid w:val="00063455"/>
    <w:rsid w:val="00076B37"/>
    <w:rsid w:val="000A12F8"/>
    <w:rsid w:val="000F4EC5"/>
    <w:rsid w:val="00101A17"/>
    <w:rsid w:val="001034E8"/>
    <w:rsid w:val="00103B72"/>
    <w:rsid w:val="0012493F"/>
    <w:rsid w:val="00143296"/>
    <w:rsid w:val="0015397F"/>
    <w:rsid w:val="00163CE9"/>
    <w:rsid w:val="00174270"/>
    <w:rsid w:val="00180060"/>
    <w:rsid w:val="00183FB2"/>
    <w:rsid w:val="0019360E"/>
    <w:rsid w:val="001A7522"/>
    <w:rsid w:val="001E070D"/>
    <w:rsid w:val="00203595"/>
    <w:rsid w:val="0020492E"/>
    <w:rsid w:val="00204DE3"/>
    <w:rsid w:val="00214026"/>
    <w:rsid w:val="00225CFC"/>
    <w:rsid w:val="002510CD"/>
    <w:rsid w:val="00264C9B"/>
    <w:rsid w:val="002755CF"/>
    <w:rsid w:val="00280C5F"/>
    <w:rsid w:val="00284673"/>
    <w:rsid w:val="00294559"/>
    <w:rsid w:val="00296F17"/>
    <w:rsid w:val="002C5A71"/>
    <w:rsid w:val="002E7AFF"/>
    <w:rsid w:val="002E7C39"/>
    <w:rsid w:val="002E7F23"/>
    <w:rsid w:val="002F2255"/>
    <w:rsid w:val="002F573A"/>
    <w:rsid w:val="00300DF9"/>
    <w:rsid w:val="00305710"/>
    <w:rsid w:val="00311831"/>
    <w:rsid w:val="003128E4"/>
    <w:rsid w:val="0032153B"/>
    <w:rsid w:val="00323CBB"/>
    <w:rsid w:val="00344126"/>
    <w:rsid w:val="00354BB4"/>
    <w:rsid w:val="003573E3"/>
    <w:rsid w:val="00364A63"/>
    <w:rsid w:val="003664CD"/>
    <w:rsid w:val="00373D93"/>
    <w:rsid w:val="003958BD"/>
    <w:rsid w:val="0039712C"/>
    <w:rsid w:val="003B02D0"/>
    <w:rsid w:val="003B0799"/>
    <w:rsid w:val="003C6C78"/>
    <w:rsid w:val="003D443D"/>
    <w:rsid w:val="003F085C"/>
    <w:rsid w:val="00405510"/>
    <w:rsid w:val="0040627C"/>
    <w:rsid w:val="004161EE"/>
    <w:rsid w:val="00430D11"/>
    <w:rsid w:val="004355EC"/>
    <w:rsid w:val="00455073"/>
    <w:rsid w:val="004730E7"/>
    <w:rsid w:val="0048325F"/>
    <w:rsid w:val="0048781B"/>
    <w:rsid w:val="00493378"/>
    <w:rsid w:val="004A2D19"/>
    <w:rsid w:val="004B06F0"/>
    <w:rsid w:val="004B24CB"/>
    <w:rsid w:val="004B79C9"/>
    <w:rsid w:val="004D457E"/>
    <w:rsid w:val="004E33EA"/>
    <w:rsid w:val="004E4D43"/>
    <w:rsid w:val="005021D3"/>
    <w:rsid w:val="00506DE1"/>
    <w:rsid w:val="00511702"/>
    <w:rsid w:val="00512177"/>
    <w:rsid w:val="005308AB"/>
    <w:rsid w:val="00541F3D"/>
    <w:rsid w:val="0055359E"/>
    <w:rsid w:val="005562F4"/>
    <w:rsid w:val="00561288"/>
    <w:rsid w:val="00585ACC"/>
    <w:rsid w:val="00594378"/>
    <w:rsid w:val="005A1642"/>
    <w:rsid w:val="005A2327"/>
    <w:rsid w:val="005A3087"/>
    <w:rsid w:val="005A476A"/>
    <w:rsid w:val="005E5041"/>
    <w:rsid w:val="005E5BB1"/>
    <w:rsid w:val="00622385"/>
    <w:rsid w:val="00633B1E"/>
    <w:rsid w:val="006409DA"/>
    <w:rsid w:val="00654CEF"/>
    <w:rsid w:val="00656697"/>
    <w:rsid w:val="00660EEF"/>
    <w:rsid w:val="00671639"/>
    <w:rsid w:val="00696D0C"/>
    <w:rsid w:val="006C7758"/>
    <w:rsid w:val="006D0D07"/>
    <w:rsid w:val="006D11F9"/>
    <w:rsid w:val="00700447"/>
    <w:rsid w:val="00704293"/>
    <w:rsid w:val="0071181F"/>
    <w:rsid w:val="00716918"/>
    <w:rsid w:val="00754C0F"/>
    <w:rsid w:val="007569AD"/>
    <w:rsid w:val="007646B4"/>
    <w:rsid w:val="00773D09"/>
    <w:rsid w:val="00775CFD"/>
    <w:rsid w:val="007968E2"/>
    <w:rsid w:val="007B42EF"/>
    <w:rsid w:val="007C4EC4"/>
    <w:rsid w:val="007D1889"/>
    <w:rsid w:val="007D22AF"/>
    <w:rsid w:val="007E08D3"/>
    <w:rsid w:val="007E5431"/>
    <w:rsid w:val="00800A81"/>
    <w:rsid w:val="00805DB6"/>
    <w:rsid w:val="00816919"/>
    <w:rsid w:val="00854DAA"/>
    <w:rsid w:val="00856BF7"/>
    <w:rsid w:val="0086020F"/>
    <w:rsid w:val="00862839"/>
    <w:rsid w:val="008778D3"/>
    <w:rsid w:val="00900E48"/>
    <w:rsid w:val="00900EDC"/>
    <w:rsid w:val="00912027"/>
    <w:rsid w:val="00920F96"/>
    <w:rsid w:val="009573A7"/>
    <w:rsid w:val="00957872"/>
    <w:rsid w:val="0096376A"/>
    <w:rsid w:val="009713E2"/>
    <w:rsid w:val="00997EEA"/>
    <w:rsid w:val="009A1AB8"/>
    <w:rsid w:val="009B4EED"/>
    <w:rsid w:val="009C0AD9"/>
    <w:rsid w:val="009C7829"/>
    <w:rsid w:val="009F32C8"/>
    <w:rsid w:val="009F4E37"/>
    <w:rsid w:val="00A07E10"/>
    <w:rsid w:val="00A11CCE"/>
    <w:rsid w:val="00A3036C"/>
    <w:rsid w:val="00A4425F"/>
    <w:rsid w:val="00A834A4"/>
    <w:rsid w:val="00A84465"/>
    <w:rsid w:val="00A9379E"/>
    <w:rsid w:val="00AB1A1D"/>
    <w:rsid w:val="00AC28B8"/>
    <w:rsid w:val="00AD535D"/>
    <w:rsid w:val="00AD74E8"/>
    <w:rsid w:val="00AE4AB8"/>
    <w:rsid w:val="00AE4C21"/>
    <w:rsid w:val="00B274C9"/>
    <w:rsid w:val="00B30098"/>
    <w:rsid w:val="00B42C75"/>
    <w:rsid w:val="00B52C41"/>
    <w:rsid w:val="00B55431"/>
    <w:rsid w:val="00B612E5"/>
    <w:rsid w:val="00B62094"/>
    <w:rsid w:val="00B635DA"/>
    <w:rsid w:val="00B63BD5"/>
    <w:rsid w:val="00B75262"/>
    <w:rsid w:val="00BA108B"/>
    <w:rsid w:val="00BA6BD9"/>
    <w:rsid w:val="00BB4D60"/>
    <w:rsid w:val="00C04EBF"/>
    <w:rsid w:val="00C06FA9"/>
    <w:rsid w:val="00C21557"/>
    <w:rsid w:val="00C75015"/>
    <w:rsid w:val="00C85C46"/>
    <w:rsid w:val="00C924C8"/>
    <w:rsid w:val="00CA5373"/>
    <w:rsid w:val="00CC603F"/>
    <w:rsid w:val="00CE3B33"/>
    <w:rsid w:val="00CE46E8"/>
    <w:rsid w:val="00CE4F05"/>
    <w:rsid w:val="00CF6737"/>
    <w:rsid w:val="00D132BA"/>
    <w:rsid w:val="00D16654"/>
    <w:rsid w:val="00D37715"/>
    <w:rsid w:val="00D71E81"/>
    <w:rsid w:val="00DA2184"/>
    <w:rsid w:val="00DC0E18"/>
    <w:rsid w:val="00DC7368"/>
    <w:rsid w:val="00DC7765"/>
    <w:rsid w:val="00DF68B2"/>
    <w:rsid w:val="00E3286C"/>
    <w:rsid w:val="00E47CF2"/>
    <w:rsid w:val="00E51C6F"/>
    <w:rsid w:val="00E62FDC"/>
    <w:rsid w:val="00E644F0"/>
    <w:rsid w:val="00E672DE"/>
    <w:rsid w:val="00E7084E"/>
    <w:rsid w:val="00EA106E"/>
    <w:rsid w:val="00EC342A"/>
    <w:rsid w:val="00EC5FDF"/>
    <w:rsid w:val="00EE2B39"/>
    <w:rsid w:val="00EF57BD"/>
    <w:rsid w:val="00F02E36"/>
    <w:rsid w:val="00F07853"/>
    <w:rsid w:val="00F54B4D"/>
    <w:rsid w:val="00F658BE"/>
    <w:rsid w:val="00F861C7"/>
    <w:rsid w:val="00F8744F"/>
    <w:rsid w:val="00F9751A"/>
    <w:rsid w:val="00FD2820"/>
    <w:rsid w:val="00FD52D0"/>
    <w:rsid w:val="00FF3BAF"/>
    <w:rsid w:val="00FF7574"/>
    <w:rsid w:val="11DE7C32"/>
    <w:rsid w:val="13C96CEA"/>
    <w:rsid w:val="141236C3"/>
    <w:rsid w:val="152B545F"/>
    <w:rsid w:val="17D02B6E"/>
    <w:rsid w:val="1A626DED"/>
    <w:rsid w:val="1C8B0004"/>
    <w:rsid w:val="1D941622"/>
    <w:rsid w:val="21BD0646"/>
    <w:rsid w:val="22FE1E3B"/>
    <w:rsid w:val="239E6C58"/>
    <w:rsid w:val="240D43A8"/>
    <w:rsid w:val="25E050E4"/>
    <w:rsid w:val="265946A9"/>
    <w:rsid w:val="2AF84B1D"/>
    <w:rsid w:val="2C960FA9"/>
    <w:rsid w:val="2EF93A52"/>
    <w:rsid w:val="2F74046F"/>
    <w:rsid w:val="36930279"/>
    <w:rsid w:val="383C619B"/>
    <w:rsid w:val="3C884BE7"/>
    <w:rsid w:val="3F563989"/>
    <w:rsid w:val="404F2343"/>
    <w:rsid w:val="463F4153"/>
    <w:rsid w:val="48676B9A"/>
    <w:rsid w:val="4DF7795B"/>
    <w:rsid w:val="4F4C20F8"/>
    <w:rsid w:val="50430503"/>
    <w:rsid w:val="54B36C45"/>
    <w:rsid w:val="561E5835"/>
    <w:rsid w:val="57492374"/>
    <w:rsid w:val="58663827"/>
    <w:rsid w:val="631775E8"/>
    <w:rsid w:val="64611231"/>
    <w:rsid w:val="68D55992"/>
    <w:rsid w:val="6AD3401E"/>
    <w:rsid w:val="71940305"/>
    <w:rsid w:val="75AD3AB1"/>
    <w:rsid w:val="780B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4C505ED7-5E3B-427D-9740-43D5C6B5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sz w:val="22"/>
      <w:szCs w:val="22"/>
      <w:lang w:eastAsia="en-US"/>
    </w:rPr>
  </w:style>
  <w:style w:type="paragraph" w:customStyle="1" w:styleId="2">
    <w:name w:val="修订2"/>
    <w:hidden/>
    <w:uiPriority w:val="99"/>
    <w:semiHidden/>
    <w:qFormat/>
    <w:rPr>
      <w:rFonts w:asciiTheme="minorHAnsi" w:eastAsiaTheme="minorEastAsia" w:hAnsiTheme="minorHAnsi" w:cstheme="minorBidi"/>
      <w:sz w:val="22"/>
      <w:szCs w:val="22"/>
      <w:lang w:eastAsia="en-US"/>
    </w:rPr>
  </w:style>
  <w:style w:type="paragraph" w:customStyle="1" w:styleId="3">
    <w:name w:val="修订3"/>
    <w:hidden/>
    <w:uiPriority w:val="99"/>
    <w:semiHidden/>
    <w:qFormat/>
    <w:rPr>
      <w:rFonts w:asciiTheme="minorHAnsi" w:eastAsiaTheme="minorEastAsia" w:hAnsiTheme="minorHAnsi" w:cstheme="minorBidi"/>
      <w:sz w:val="22"/>
      <w:szCs w:val="22"/>
      <w:lang w:eastAsia="en-US"/>
    </w:rPr>
  </w:style>
  <w:style w:type="paragraph" w:customStyle="1" w:styleId="4">
    <w:name w:val="修订4"/>
    <w:hidden/>
    <w:uiPriority w:val="99"/>
    <w:semiHidden/>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邢维维</dc:creator>
  <cp:lastModifiedBy>SES0140</cp:lastModifiedBy>
  <cp:revision>20</cp:revision>
  <dcterms:created xsi:type="dcterms:W3CDTF">2023-03-20T03:03:00Z</dcterms:created>
  <dcterms:modified xsi:type="dcterms:W3CDTF">2023-04-24T03:57:00Z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2052-11.1.0.14036</vt:lpwstr>
  </property>
  <property fmtid="{D5CDD505-2E9C-101B-9397-08002B2CF9AE}" pid="6" name="ICV">
    <vt:lpwstr>0742CCC47C934B538444F3F6C7621090_13</vt:lpwstr>
  </property>
</Properties>
</file>