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5E90B" w14:textId="77777777" w:rsidR="00D34A09" w:rsidRDefault="00D34A09">
      <w:pPr>
        <w:spacing w:before="6"/>
        <w:rPr>
          <w:rFonts w:ascii="Times New Roman" w:eastAsia="Times New Roman" w:hAnsi="Times New Roman" w:cs="Times New Roman"/>
          <w:b/>
          <w:bCs/>
          <w:sz w:val="6"/>
          <w:szCs w:val="6"/>
        </w:rPr>
      </w:pPr>
    </w:p>
    <w:tbl>
      <w:tblPr>
        <w:tblStyle w:val="TableNormal1"/>
        <w:tblW w:w="0" w:type="auto"/>
        <w:tblInd w:w="110" w:type="dxa"/>
        <w:tblLayout w:type="fixed"/>
        <w:tblLook w:val="04A0" w:firstRow="1" w:lastRow="0" w:firstColumn="1" w:lastColumn="0" w:noHBand="0" w:noVBand="1"/>
      </w:tblPr>
      <w:tblGrid>
        <w:gridCol w:w="2711"/>
        <w:gridCol w:w="3214"/>
        <w:gridCol w:w="2843"/>
      </w:tblGrid>
      <w:tr w:rsidR="00D34A09" w14:paraId="77FED2BF" w14:textId="77777777">
        <w:trPr>
          <w:trHeight w:hRule="exact" w:val="373"/>
        </w:trPr>
        <w:tc>
          <w:tcPr>
            <w:tcW w:w="2711" w:type="dxa"/>
            <w:tcBorders>
              <w:top w:val="nil"/>
              <w:left w:val="nil"/>
              <w:bottom w:val="nil"/>
              <w:right w:val="nil"/>
            </w:tcBorders>
          </w:tcPr>
          <w:p w14:paraId="478A1E8A" w14:textId="77777777" w:rsidR="00D34A09" w:rsidRDefault="00000000">
            <w:pPr>
              <w:pStyle w:val="TableParagraph"/>
              <w:spacing w:line="318" w:lineRule="exact"/>
              <w:ind w:left="230"/>
              <w:rPr>
                <w:rFonts w:asciiTheme="majorEastAsia" w:eastAsiaTheme="majorEastAsia" w:hAnsiTheme="majorEastAsia" w:cs="Times New Roman"/>
                <w:b/>
                <w:bCs/>
                <w:sz w:val="24"/>
                <w:szCs w:val="24"/>
              </w:rPr>
            </w:pPr>
            <w:r>
              <w:rPr>
                <w:rFonts w:asciiTheme="majorEastAsia" w:eastAsiaTheme="majorEastAsia" w:hAnsiTheme="majorEastAsia" w:cs="宋体"/>
                <w:b/>
                <w:bCs/>
                <w:sz w:val="24"/>
                <w:szCs w:val="24"/>
              </w:rPr>
              <w:t>证券代码：</w:t>
            </w:r>
            <w:r>
              <w:rPr>
                <w:rFonts w:asciiTheme="majorEastAsia" w:eastAsiaTheme="majorEastAsia" w:hAnsiTheme="majorEastAsia" w:cs="Times New Roman"/>
                <w:b/>
                <w:bCs/>
                <w:sz w:val="24"/>
                <w:szCs w:val="24"/>
                <w:lang w:eastAsia="zh-CN"/>
              </w:rPr>
              <w:t>688480</w:t>
            </w:r>
          </w:p>
        </w:tc>
        <w:tc>
          <w:tcPr>
            <w:tcW w:w="3214" w:type="dxa"/>
            <w:tcBorders>
              <w:top w:val="nil"/>
              <w:left w:val="nil"/>
              <w:bottom w:val="nil"/>
              <w:right w:val="nil"/>
            </w:tcBorders>
          </w:tcPr>
          <w:p w14:paraId="18C28248" w14:textId="77777777" w:rsidR="00D34A09" w:rsidRDefault="00000000">
            <w:pPr>
              <w:pStyle w:val="TableParagraph"/>
              <w:spacing w:line="300" w:lineRule="exact"/>
              <w:ind w:left="560"/>
              <w:rPr>
                <w:rFonts w:asciiTheme="majorEastAsia" w:eastAsiaTheme="majorEastAsia" w:hAnsiTheme="majorEastAsia" w:cs="宋体"/>
                <w:b/>
                <w:bCs/>
                <w:sz w:val="24"/>
                <w:szCs w:val="24"/>
              </w:rPr>
            </w:pPr>
            <w:r>
              <w:rPr>
                <w:rFonts w:asciiTheme="majorEastAsia" w:eastAsiaTheme="majorEastAsia" w:hAnsiTheme="majorEastAsia" w:cs="宋体"/>
                <w:b/>
                <w:bCs/>
                <w:sz w:val="24"/>
                <w:szCs w:val="24"/>
              </w:rPr>
              <w:t>证券简称：</w:t>
            </w:r>
            <w:r>
              <w:rPr>
                <w:rFonts w:asciiTheme="majorEastAsia" w:eastAsiaTheme="majorEastAsia" w:hAnsiTheme="majorEastAsia" w:cs="Times New Roman" w:hint="eastAsia"/>
                <w:b/>
                <w:bCs/>
                <w:sz w:val="24"/>
                <w:szCs w:val="24"/>
                <w:lang w:eastAsia="zh-CN"/>
              </w:rPr>
              <w:t>赛恩斯</w:t>
            </w:r>
          </w:p>
        </w:tc>
        <w:tc>
          <w:tcPr>
            <w:tcW w:w="2843" w:type="dxa"/>
            <w:tcBorders>
              <w:top w:val="nil"/>
              <w:left w:val="nil"/>
              <w:bottom w:val="nil"/>
              <w:right w:val="nil"/>
            </w:tcBorders>
          </w:tcPr>
          <w:p w14:paraId="790CB814" w14:textId="3DEDA575" w:rsidR="00D34A09" w:rsidRPr="0006780D" w:rsidRDefault="00000000">
            <w:pPr>
              <w:pStyle w:val="TableParagraph"/>
              <w:spacing w:line="318" w:lineRule="exact"/>
              <w:rPr>
                <w:rFonts w:asciiTheme="majorEastAsia" w:eastAsiaTheme="majorEastAsia" w:hAnsiTheme="majorEastAsia" w:cs="Times New Roman"/>
                <w:b/>
                <w:bCs/>
                <w:sz w:val="24"/>
                <w:szCs w:val="24"/>
                <w:lang w:eastAsia="zh-CN"/>
              </w:rPr>
            </w:pPr>
            <w:r w:rsidRPr="0006780D">
              <w:rPr>
                <w:rFonts w:asciiTheme="majorEastAsia" w:eastAsiaTheme="majorEastAsia" w:hAnsiTheme="majorEastAsia" w:cs="宋体"/>
                <w:b/>
                <w:bCs/>
                <w:sz w:val="24"/>
                <w:szCs w:val="24"/>
              </w:rPr>
              <w:t>公告编号：</w:t>
            </w:r>
            <w:r w:rsidRPr="0006780D">
              <w:rPr>
                <w:rFonts w:asciiTheme="majorEastAsia" w:eastAsiaTheme="majorEastAsia" w:hAnsiTheme="majorEastAsia" w:cs="Times New Roman"/>
                <w:b/>
                <w:bCs/>
                <w:sz w:val="24"/>
                <w:szCs w:val="24"/>
              </w:rPr>
              <w:t>202</w:t>
            </w:r>
            <w:r w:rsidRPr="0006780D">
              <w:rPr>
                <w:rFonts w:asciiTheme="majorEastAsia" w:eastAsiaTheme="majorEastAsia" w:hAnsiTheme="majorEastAsia" w:cs="Times New Roman"/>
                <w:b/>
                <w:bCs/>
                <w:sz w:val="24"/>
                <w:szCs w:val="24"/>
                <w:lang w:eastAsia="zh-CN"/>
              </w:rPr>
              <w:t>3</w:t>
            </w:r>
            <w:r w:rsidRPr="0006780D">
              <w:rPr>
                <w:rFonts w:asciiTheme="majorEastAsia" w:eastAsiaTheme="majorEastAsia" w:hAnsiTheme="majorEastAsia" w:cs="Times New Roman"/>
                <w:b/>
                <w:bCs/>
                <w:sz w:val="24"/>
                <w:szCs w:val="24"/>
              </w:rPr>
              <w:t>-</w:t>
            </w:r>
            <w:r w:rsidR="0006780D" w:rsidRPr="0006780D">
              <w:rPr>
                <w:rFonts w:asciiTheme="majorEastAsia" w:eastAsiaTheme="majorEastAsia" w:hAnsiTheme="majorEastAsia" w:cs="Times New Roman" w:hint="eastAsia"/>
                <w:b/>
                <w:bCs/>
                <w:sz w:val="24"/>
                <w:szCs w:val="24"/>
                <w:lang w:eastAsia="zh-CN"/>
              </w:rPr>
              <w:t>0</w:t>
            </w:r>
            <w:r w:rsidR="0006780D" w:rsidRPr="0006780D">
              <w:rPr>
                <w:rFonts w:asciiTheme="majorEastAsia" w:eastAsiaTheme="majorEastAsia" w:hAnsiTheme="majorEastAsia" w:cs="Times New Roman"/>
                <w:b/>
                <w:bCs/>
                <w:sz w:val="24"/>
                <w:szCs w:val="24"/>
                <w:lang w:eastAsia="zh-CN"/>
              </w:rPr>
              <w:t>2</w:t>
            </w:r>
            <w:r w:rsidR="00B740F1">
              <w:rPr>
                <w:rFonts w:asciiTheme="majorEastAsia" w:eastAsiaTheme="majorEastAsia" w:hAnsiTheme="majorEastAsia" w:cs="Times New Roman"/>
                <w:b/>
                <w:bCs/>
                <w:sz w:val="24"/>
                <w:szCs w:val="24"/>
                <w:lang w:eastAsia="zh-CN"/>
              </w:rPr>
              <w:t>7</w:t>
            </w:r>
          </w:p>
        </w:tc>
      </w:tr>
    </w:tbl>
    <w:p w14:paraId="05E7D06B" w14:textId="77777777" w:rsidR="00D34A09" w:rsidRDefault="00D34A09">
      <w:pPr>
        <w:rPr>
          <w:rFonts w:asciiTheme="majorEastAsia" w:eastAsiaTheme="majorEastAsia" w:hAnsiTheme="majorEastAsia" w:cs="Times New Roman"/>
          <w:sz w:val="20"/>
          <w:szCs w:val="20"/>
        </w:rPr>
      </w:pPr>
    </w:p>
    <w:p w14:paraId="2EA0540B" w14:textId="77777777" w:rsidR="00D34A09" w:rsidRDefault="00000000" w:rsidP="000900FF">
      <w:pPr>
        <w:spacing w:before="240" w:line="360" w:lineRule="auto"/>
        <w:jc w:val="center"/>
        <w:rPr>
          <w:rFonts w:ascii="宋体" w:eastAsia="宋体" w:hAnsi="宋体" w:cs="宋体"/>
          <w:b/>
          <w:bCs/>
          <w:color w:val="FF0000"/>
          <w:w w:val="99"/>
          <w:sz w:val="36"/>
          <w:szCs w:val="36"/>
          <w:lang w:eastAsia="zh-CN"/>
        </w:rPr>
      </w:pPr>
      <w:r>
        <w:rPr>
          <w:rFonts w:ascii="宋体" w:eastAsia="宋体" w:hAnsi="宋体" w:cs="宋体" w:hint="eastAsia"/>
          <w:b/>
          <w:bCs/>
          <w:color w:val="FF0000"/>
          <w:sz w:val="36"/>
          <w:szCs w:val="36"/>
          <w:lang w:eastAsia="zh-CN"/>
        </w:rPr>
        <w:t>赛恩斯环保股份有限公司</w:t>
      </w:r>
    </w:p>
    <w:p w14:paraId="57C4E94F" w14:textId="77777777" w:rsidR="00D34A09" w:rsidRDefault="00000000">
      <w:pPr>
        <w:spacing w:line="360" w:lineRule="auto"/>
        <w:jc w:val="center"/>
        <w:rPr>
          <w:rFonts w:ascii="宋体" w:eastAsia="宋体" w:hAnsi="宋体" w:cs="宋体"/>
          <w:b/>
          <w:bCs/>
          <w:color w:val="FF0000"/>
          <w:sz w:val="36"/>
          <w:szCs w:val="36"/>
          <w:lang w:eastAsia="zh-CN"/>
        </w:rPr>
      </w:pPr>
      <w:r>
        <w:rPr>
          <w:rFonts w:ascii="宋体" w:eastAsia="宋体" w:hAnsi="宋体" w:cs="宋体" w:hint="eastAsia"/>
          <w:b/>
          <w:bCs/>
          <w:color w:val="FF0000"/>
          <w:sz w:val="36"/>
          <w:szCs w:val="36"/>
          <w:lang w:eastAsia="zh-CN"/>
        </w:rPr>
        <w:t>关于调整2023年限制性股票激励计划</w:t>
      </w:r>
    </w:p>
    <w:p w14:paraId="38376832" w14:textId="77777777" w:rsidR="00D34A09" w:rsidRDefault="00000000">
      <w:pPr>
        <w:spacing w:line="360" w:lineRule="auto"/>
        <w:jc w:val="center"/>
        <w:rPr>
          <w:rFonts w:ascii="宋体" w:eastAsia="宋体" w:hAnsi="宋体" w:cs="宋体"/>
          <w:b/>
          <w:bCs/>
          <w:color w:val="FF0000"/>
          <w:sz w:val="36"/>
          <w:szCs w:val="36"/>
          <w:lang w:eastAsia="zh-CN"/>
        </w:rPr>
      </w:pPr>
      <w:r>
        <w:rPr>
          <w:rFonts w:ascii="宋体" w:eastAsia="宋体" w:hAnsi="宋体" w:cs="宋体" w:hint="eastAsia"/>
          <w:b/>
          <w:bCs/>
          <w:color w:val="FF0000"/>
          <w:sz w:val="36"/>
          <w:szCs w:val="36"/>
          <w:lang w:eastAsia="zh-CN"/>
        </w:rPr>
        <w:t>相关事项的公告</w:t>
      </w:r>
    </w:p>
    <w:p w14:paraId="40A5209A" w14:textId="77777777" w:rsidR="00D34A09" w:rsidRDefault="00000000">
      <w:pPr>
        <w:spacing w:line="360" w:lineRule="auto"/>
        <w:jc w:val="center"/>
        <w:rPr>
          <w:rFonts w:ascii="宋体" w:eastAsia="宋体" w:hAnsi="宋体" w:cs="宋体"/>
          <w:b/>
          <w:bCs/>
          <w:color w:val="FF0000"/>
          <w:sz w:val="36"/>
          <w:szCs w:val="36"/>
          <w:lang w:eastAsia="zh-CN"/>
        </w:rPr>
      </w:pPr>
      <w:r>
        <w:rPr>
          <w:rFonts w:ascii="黑体" w:eastAsia="黑体" w:hAnsi="黑体" w:cs="黑体"/>
          <w:noProof/>
          <w:position w:val="-19"/>
          <w:sz w:val="20"/>
          <w:szCs w:val="20"/>
          <w:lang w:eastAsia="zh-CN"/>
        </w:rPr>
        <mc:AlternateContent>
          <mc:Choice Requires="wps">
            <w:drawing>
              <wp:anchor distT="0" distB="0" distL="0" distR="0" simplePos="0" relativeHeight="251659264" behindDoc="0" locked="0" layoutInCell="1" allowOverlap="1" wp14:anchorId="77A0762D" wp14:editId="61E17262">
                <wp:simplePos x="0" y="0"/>
                <wp:positionH relativeFrom="column">
                  <wp:posOffset>120310</wp:posOffset>
                </wp:positionH>
                <wp:positionV relativeFrom="paragraph">
                  <wp:posOffset>106635</wp:posOffset>
                </wp:positionV>
                <wp:extent cx="5270500" cy="639445"/>
                <wp:effectExtent l="4445" t="5080" r="2095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639445"/>
                        </a:xfrm>
                        <a:prstGeom prst="rect">
                          <a:avLst/>
                        </a:prstGeom>
                        <a:noFill/>
                        <a:ln w="6096">
                          <a:solidFill>
                            <a:srgbClr val="000000"/>
                          </a:solidFill>
                          <a:miter lim="800000"/>
                        </a:ln>
                      </wps:spPr>
                      <wps:txbx>
                        <w:txbxContent>
                          <w:p w14:paraId="7E9AAB73" w14:textId="77777777" w:rsidR="00D34A09" w:rsidRDefault="00000000" w:rsidP="00C86721">
                            <w:pPr>
                              <w:spacing w:beforeLines="50" w:before="120" w:line="360" w:lineRule="auto"/>
                              <w:ind w:firstLineChars="200" w:firstLine="480"/>
                              <w:jc w:val="center"/>
                              <w:rPr>
                                <w:rFonts w:ascii="宋体" w:eastAsia="宋体" w:hAnsi="宋体" w:cs="Times New Roman"/>
                                <w:kern w:val="2"/>
                                <w:sz w:val="24"/>
                                <w:lang w:eastAsia="zh-CN"/>
                              </w:rPr>
                            </w:pPr>
                            <w:r>
                              <w:rPr>
                                <w:rFonts w:ascii="宋体" w:eastAsia="宋体" w:hAnsi="宋体" w:cs="Times New Roman" w:hint="eastAsia"/>
                                <w:kern w:val="2"/>
                                <w:sz w:val="24"/>
                                <w:lang w:eastAsia="zh-CN"/>
                              </w:rPr>
                              <w:t>本公司董事会及全体董事保证本公告内容不存在任何虚假记载、误导性陈述或者重大遗漏，并对其内容的真实性、准确性和完整性依法承担法律责任。</w:t>
                            </w:r>
                          </w:p>
                        </w:txbxContent>
                      </wps:txbx>
                      <wps:bodyPr rot="0" vert="horz" wrap="square" lIns="0" tIns="0" rIns="0" bIns="0" anchor="t" anchorCtr="0" upright="1">
                        <a:noAutofit/>
                      </wps:bodyPr>
                    </wps:wsp>
                  </a:graphicData>
                </a:graphic>
              </wp:anchor>
            </w:drawing>
          </mc:Choice>
          <mc:Fallback>
            <w:pict>
              <v:shapetype w14:anchorId="77A0762D" id="_x0000_t202" coordsize="21600,21600" o:spt="202" path="m,l,21600r21600,l21600,xe">
                <v:stroke joinstyle="miter"/>
                <v:path gradientshapeok="t" o:connecttype="rect"/>
              </v:shapetype>
              <v:shape id="Text Box 2" o:spid="_x0000_s1026" type="#_x0000_t202" style="position:absolute;left:0;text-align:left;margin-left:9.45pt;margin-top:8.4pt;width:415pt;height:50.3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" filled="f" strokeweight=".48pt">
                <v:textbox inset="0,0,0,0">
                  <w:txbxContent>
                    <w:p w14:paraId="7E9AAB73" w14:textId="77777777" w:rsidR="00D34A09" w:rsidRDefault="00000000" w:rsidP="00C86721">
                      <w:pPr>
                        <w:spacing w:beforeLines="50" w:before="120" w:line="360" w:lineRule="auto"/>
                        <w:ind w:firstLineChars="200" w:firstLine="480"/>
                        <w:jc w:val="center"/>
                        <w:rPr>
                          <w:rFonts w:ascii="宋体" w:eastAsia="宋体" w:hAnsi="宋体" w:cs="Times New Roman"/>
                          <w:kern w:val="2"/>
                          <w:sz w:val="24"/>
                          <w:lang w:eastAsia="zh-CN"/>
                        </w:rPr>
                      </w:pPr>
                      <w:r>
                        <w:rPr>
                          <w:rFonts w:ascii="宋体" w:eastAsia="宋体" w:hAnsi="宋体" w:cs="Times New Roman" w:hint="eastAsia"/>
                          <w:kern w:val="2"/>
                          <w:sz w:val="24"/>
                          <w:lang w:eastAsia="zh-CN"/>
                        </w:rPr>
                        <w:t>本公司董事会及全体董事保证本公告内容不存在任何虚假记载、误导性陈述或者重大遗漏，并对其内容的真实性、准确性和完整性依法承担法律责任。</w:t>
                      </w:r>
                    </w:p>
                  </w:txbxContent>
                </v:textbox>
              </v:shape>
            </w:pict>
          </mc:Fallback>
        </mc:AlternateContent>
      </w:r>
    </w:p>
    <w:p w14:paraId="19E09701" w14:textId="77777777" w:rsidR="00D34A09" w:rsidRDefault="00D34A09">
      <w:pPr>
        <w:spacing w:line="360" w:lineRule="auto"/>
        <w:jc w:val="center"/>
        <w:rPr>
          <w:rFonts w:ascii="宋体" w:eastAsia="宋体" w:hAnsi="宋体" w:cs="宋体"/>
          <w:b/>
          <w:bCs/>
          <w:color w:val="FF0000"/>
          <w:sz w:val="36"/>
          <w:szCs w:val="36"/>
          <w:lang w:eastAsia="zh-CN"/>
        </w:rPr>
      </w:pPr>
    </w:p>
    <w:p w14:paraId="24AA9178" w14:textId="77777777" w:rsidR="00D34A09" w:rsidRDefault="00000000">
      <w:pPr>
        <w:spacing w:beforeLines="100" w:before="240"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赛恩斯环保股份有限公司（以下简称“公司”）于2023年4月21日分别召开第三届董事会第二次会议和第三届监事会第二次会议，审议通过《关于调整2023年限制性股票激励计划相关事项的议案》，决定对2023年限制性股票激励计划（以下简称“本激励计划”）授予的激励对象人数和限制性股票数量作出调整，现将相关事项公告如下：</w:t>
      </w:r>
    </w:p>
    <w:p w14:paraId="3E9B692F" w14:textId="77777777" w:rsidR="00D34A09" w:rsidRDefault="00000000" w:rsidP="0006780D">
      <w:pPr>
        <w:pStyle w:val="1"/>
        <w:spacing w:beforeLines="50" w:before="120" w:afterLines="50" w:after="120" w:line="360" w:lineRule="auto"/>
        <w:ind w:left="0" w:firstLineChars="200" w:firstLine="482"/>
        <w:rPr>
          <w:lang w:eastAsia="zh-CN"/>
        </w:rPr>
      </w:pPr>
      <w:r>
        <w:rPr>
          <w:rFonts w:hint="eastAsia"/>
          <w:lang w:eastAsia="zh-CN"/>
        </w:rPr>
        <w:t>一</w:t>
      </w:r>
      <w:r>
        <w:rPr>
          <w:lang w:eastAsia="zh-CN"/>
        </w:rPr>
        <w:t>、</w:t>
      </w:r>
      <w:r>
        <w:rPr>
          <w:rFonts w:hint="eastAsia"/>
          <w:lang w:eastAsia="zh-CN"/>
        </w:rPr>
        <w:t>本激励计划已履行的决策程序和信息披露情况</w:t>
      </w:r>
    </w:p>
    <w:p w14:paraId="6B1EF994" w14:textId="17EF11E0" w:rsidR="00D34A09"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一）2023年3月20日，公司召开第二届董事会第十九次会议，审议通过《关于&lt;2023年限制性股票激励计划（草案）&gt;及摘要的议案》《关于&lt;2023年限制性股票激励计划考核管理办法&gt;的议案》《关于提请股东大会授权董事会办理2023年限制性股票激励计划有关事项的议案》《关于提请召开2023年第三次临时股东大会的议案》。公司独立董事</w:t>
      </w:r>
      <w:r w:rsidR="00460F64">
        <w:rPr>
          <w:rFonts w:asciiTheme="majorEastAsia" w:eastAsiaTheme="majorEastAsia" w:hAnsiTheme="majorEastAsia" w:hint="eastAsia"/>
          <w:sz w:val="24"/>
          <w:szCs w:val="24"/>
          <w:lang w:eastAsia="zh-CN"/>
        </w:rPr>
        <w:t>对相关事项</w:t>
      </w:r>
      <w:r>
        <w:rPr>
          <w:rFonts w:asciiTheme="majorEastAsia" w:eastAsiaTheme="majorEastAsia" w:hAnsiTheme="majorEastAsia" w:hint="eastAsia"/>
          <w:sz w:val="24"/>
          <w:szCs w:val="24"/>
          <w:lang w:eastAsia="zh-CN"/>
        </w:rPr>
        <w:t>发表了独立意见。</w:t>
      </w:r>
    </w:p>
    <w:p w14:paraId="1E5983E0" w14:textId="77777777" w:rsidR="00D34A09"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二）2023年3月20日，公司召开第二届监事会第十三次会议，审议通过《关于&lt;2023年限制性股票激励计划（草案）&gt;及摘要的议案》《关于&lt;2023年限制性股票激励计划考核管理办法&gt;的议案》《关于&lt;2023年限制性股票激励计划激励对象名单&gt;的议案》。</w:t>
      </w:r>
    </w:p>
    <w:p w14:paraId="6B24EB6F" w14:textId="7FCC840D" w:rsidR="00D34A09"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（三）2023年3月22日至2023年3月31日，公司内部公示本激励计划激励对象的姓名和职务。公示期满，公司监事会未收到任何</w:t>
      </w:r>
      <w:r w:rsidR="00BD2B06">
        <w:rPr>
          <w:rFonts w:asciiTheme="majorEastAsia" w:eastAsiaTheme="majorEastAsia" w:hAnsiTheme="majorEastAsia" w:hint="eastAsia"/>
          <w:sz w:val="24"/>
          <w:szCs w:val="24"/>
          <w:lang w:eastAsia="zh-CN"/>
        </w:rPr>
        <w:t>书面</w:t>
      </w:r>
      <w:r>
        <w:rPr>
          <w:rFonts w:asciiTheme="majorEastAsia" w:eastAsiaTheme="majorEastAsia" w:hAnsiTheme="majorEastAsia" w:hint="eastAsia"/>
          <w:sz w:val="24"/>
          <w:szCs w:val="24"/>
          <w:lang w:eastAsia="zh-CN"/>
        </w:rPr>
        <w:t>异议</w:t>
      </w:r>
      <w:r w:rsidR="00BD2B06">
        <w:rPr>
          <w:rFonts w:asciiTheme="majorEastAsia" w:eastAsiaTheme="majorEastAsia" w:hAnsiTheme="majorEastAsia" w:hint="eastAsia"/>
          <w:sz w:val="24"/>
          <w:szCs w:val="24"/>
          <w:lang w:eastAsia="zh-CN"/>
        </w:rPr>
        <w:t>、</w:t>
      </w:r>
      <w:r>
        <w:rPr>
          <w:rFonts w:asciiTheme="majorEastAsia" w:eastAsiaTheme="majorEastAsia" w:hAnsiTheme="majorEastAsia" w:hint="eastAsia"/>
          <w:sz w:val="24"/>
          <w:szCs w:val="24"/>
          <w:lang w:eastAsia="zh-CN"/>
        </w:rPr>
        <w:t>反馈记录。2023年4月1日，公司披露《赛恩斯环保股份有限公司监事会关于2023年限制性股票激励计划激励对象名单的审核意见及公示情况说明》。</w:t>
      </w:r>
    </w:p>
    <w:p w14:paraId="0268F0F9" w14:textId="77777777" w:rsidR="00D34A09"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lastRenderedPageBreak/>
        <w:t>（四）2023年4月7日，公司召开2023年第三次临时股东大会，审议通过《关于&lt;2023年限制性股票激励计划（草案）&gt;及摘要的议案》《关于&lt;2023年限制性股票激励计划考核管理办法&gt;的议案》《关于提请股东大会授权董事会办理2023年限制性股票激励计划有关事项的议案》。2023年4月8日，公司披露《赛恩斯环保股份有限公司关于2023年限制性股票激励计划内幕信息知情人买卖公司股票情况的自查报告》。</w:t>
      </w:r>
    </w:p>
    <w:p w14:paraId="0EF12673" w14:textId="77777777" w:rsidR="00D34A09"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五）2023年4月21日，公司分别召开第三届董事会第二次会议和第三届监事会第二次会议，审议通过《关于调整2023年限制性股票激励计划相关事项的议案》《关于向激励对象首次授予限制性股票的议案》。公司独立董事发表了独立意见。</w:t>
      </w:r>
    </w:p>
    <w:p w14:paraId="545CC0C7" w14:textId="77777777" w:rsidR="00D34A09" w:rsidRDefault="00000000" w:rsidP="0006780D">
      <w:pPr>
        <w:pStyle w:val="1"/>
        <w:spacing w:beforeLines="50" w:before="120" w:afterLines="50" w:after="120" w:line="360" w:lineRule="auto"/>
        <w:ind w:left="0" w:firstLineChars="200" w:firstLine="482"/>
        <w:rPr>
          <w:lang w:eastAsia="zh-CN"/>
        </w:rPr>
      </w:pPr>
      <w:r>
        <w:rPr>
          <w:rFonts w:hint="eastAsia"/>
          <w:lang w:eastAsia="zh-CN"/>
        </w:rPr>
        <w:t>二、本次调整情况说明</w:t>
      </w:r>
    </w:p>
    <w:p w14:paraId="055C6937" w14:textId="77777777" w:rsidR="00D34A09"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鉴于本激励计划首次授予的1名激励对象因个人原因自愿放弃其拟获授的全部限制性股票共计1.00万股，根据《上市公司股权激励管理办法》《科创板上市公司自律监管指南第4号—股权激励信息披露》《2023年限制性股票激励计划（草案）》等有关规定，公司对本激励计划授予的激励对象人数和限制性股票数量作出相应调整，首次授予的激励对象人数由122人调整为121人，首次授予的限制性股票数量由168.50万股调整为167.50万股，预留授予的限制性股票数量保持不变。</w:t>
      </w:r>
    </w:p>
    <w:p w14:paraId="453D0B11" w14:textId="77777777" w:rsidR="00D34A09"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除上述调整事项之外，本激励计划的其他内容与公司2023年第三次临时股东大会审议通过的激励计划一致。本次调整事项属于公司2023年第三次临时股东大会对董事会的授权范围内事项，无需再次提交股东大会审议。</w:t>
      </w:r>
    </w:p>
    <w:p w14:paraId="51DE6BD5" w14:textId="77777777" w:rsidR="00D34A09" w:rsidRDefault="00000000">
      <w:pPr>
        <w:pStyle w:val="1"/>
        <w:spacing w:before="240" w:after="240" w:line="360" w:lineRule="auto"/>
        <w:ind w:left="0" w:firstLineChars="200" w:firstLine="482"/>
        <w:rPr>
          <w:lang w:eastAsia="zh-CN"/>
        </w:rPr>
      </w:pPr>
      <w:r>
        <w:rPr>
          <w:rFonts w:hint="eastAsia"/>
          <w:lang w:eastAsia="zh-CN"/>
        </w:rPr>
        <w:t>三、本次调整事项对公司的影响</w:t>
      </w:r>
    </w:p>
    <w:p w14:paraId="5CDBB05B" w14:textId="77777777" w:rsidR="00D34A09"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本次调整事项不会对公司的财务状况和经营成果产生重大影响，不会影响公司核心团队的稳定性，不会影响本激励计划的继续实施。</w:t>
      </w:r>
    </w:p>
    <w:p w14:paraId="73097510" w14:textId="77777777" w:rsidR="00D34A09" w:rsidRDefault="00000000" w:rsidP="0006780D">
      <w:pPr>
        <w:pStyle w:val="1"/>
        <w:spacing w:beforeLines="50" w:before="120" w:afterLines="50" w:after="120" w:line="360" w:lineRule="auto"/>
        <w:ind w:left="0" w:firstLineChars="200" w:firstLine="482"/>
        <w:rPr>
          <w:lang w:eastAsia="zh-CN"/>
        </w:rPr>
      </w:pPr>
      <w:r>
        <w:rPr>
          <w:rFonts w:hint="eastAsia"/>
          <w:lang w:eastAsia="zh-CN"/>
        </w:rPr>
        <w:t>四、独立董事意见</w:t>
      </w:r>
    </w:p>
    <w:p w14:paraId="4CDCD721" w14:textId="77777777" w:rsidR="00D34A09"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鉴于1名激励对象因个人原因自愿放弃其拟获授的全部限制性股票共计1.00万股，公司对本激励计划授予的激励对象人数和限制性股票数量作出相应调整。本次调整事项属于公司2023年第三次临时股东大会对董事会的授权范围</w:t>
      </w:r>
      <w:r>
        <w:rPr>
          <w:rFonts w:asciiTheme="majorEastAsia" w:eastAsiaTheme="majorEastAsia" w:hAnsiTheme="majorEastAsia"/>
          <w:sz w:val="24"/>
          <w:szCs w:val="24"/>
          <w:lang w:eastAsia="zh-CN"/>
        </w:rPr>
        <w:lastRenderedPageBreak/>
        <w:t>内事项，符合《上市公司股权激励管理办法》《科创板上市公司自律监管指南第4号—股权激励信息披露》《2023年限制性股票激励计划（草案）》等有关规定，不存在损害公司及股东利益的情形。</w:t>
      </w:r>
    </w:p>
    <w:p w14:paraId="4F35F19E" w14:textId="77777777" w:rsidR="00D34A09"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综上，</w:t>
      </w:r>
      <w:r>
        <w:rPr>
          <w:rFonts w:asciiTheme="majorEastAsia" w:eastAsiaTheme="majorEastAsia" w:hAnsiTheme="majorEastAsia" w:hint="eastAsia"/>
          <w:sz w:val="24"/>
          <w:szCs w:val="24"/>
          <w:lang w:eastAsia="zh-CN"/>
        </w:rPr>
        <w:t>全体独立董事</w:t>
      </w:r>
      <w:r>
        <w:rPr>
          <w:rFonts w:asciiTheme="majorEastAsia" w:eastAsiaTheme="majorEastAsia" w:hAnsiTheme="majorEastAsia"/>
          <w:sz w:val="24"/>
          <w:szCs w:val="24"/>
          <w:lang w:eastAsia="zh-CN"/>
        </w:rPr>
        <w:t>一致同意本激励计划首次授予的激励对象人数由122人调整为121人，首次授予的限制性股票数量由168.50万股调整为167.50万股，预留授予的限制性股票数量保持不变。</w:t>
      </w:r>
    </w:p>
    <w:p w14:paraId="63831210" w14:textId="77777777" w:rsidR="00D34A09" w:rsidRDefault="00000000" w:rsidP="0006780D">
      <w:pPr>
        <w:pStyle w:val="1"/>
        <w:spacing w:beforeLines="50" w:before="120" w:afterLines="50" w:after="120" w:line="360" w:lineRule="auto"/>
        <w:ind w:left="0" w:firstLineChars="200" w:firstLine="482"/>
        <w:rPr>
          <w:lang w:eastAsia="zh-CN"/>
        </w:rPr>
      </w:pPr>
      <w:r>
        <w:rPr>
          <w:rFonts w:hint="eastAsia"/>
          <w:lang w:eastAsia="zh-CN"/>
        </w:rPr>
        <w:t>五、监事会意见</w:t>
      </w:r>
    </w:p>
    <w:p w14:paraId="3658DD95" w14:textId="5AB98621" w:rsidR="00D34A09" w:rsidRDefault="00260926">
      <w:pPr>
        <w:spacing w:line="360" w:lineRule="auto"/>
        <w:ind w:firstLineChars="200" w:firstLine="480"/>
        <w:jc w:val="both"/>
        <w:rPr>
          <w:rFonts w:asciiTheme="majorEastAsia" w:eastAsiaTheme="majorEastAsia" w:hAnsiTheme="majorEastAsia"/>
          <w:sz w:val="24"/>
          <w:szCs w:val="24"/>
          <w:lang w:eastAsia="zh-CN"/>
        </w:rPr>
      </w:pPr>
      <w:r w:rsidRPr="00260926">
        <w:rPr>
          <w:rFonts w:asciiTheme="majorEastAsia" w:eastAsiaTheme="majorEastAsia" w:hAnsiTheme="majorEastAsia" w:hint="eastAsia"/>
          <w:sz w:val="24"/>
          <w:szCs w:val="24"/>
          <w:lang w:eastAsia="zh-CN"/>
        </w:rPr>
        <w:t>经审议，监事会认为：</w:t>
      </w:r>
      <w:r>
        <w:rPr>
          <w:rFonts w:asciiTheme="majorEastAsia" w:eastAsiaTheme="majorEastAsia" w:hAnsiTheme="majorEastAsia" w:hint="eastAsia"/>
          <w:sz w:val="24"/>
          <w:szCs w:val="24"/>
          <w:lang w:eastAsia="zh-CN"/>
        </w:rPr>
        <w:t>鉴于1名激励对象因个人原因自愿放弃其拟获授的全部限制性股票共计1.00万股，公司对本激励计划授予的激励对象人数和限制性股票数量作出相应调整。本次调整事项符合《上市公司股权激励管理办法》《科创板上市公司自律监管指南第4号—股权激励信息披露》《2023年限制性股票激励计划（草案）》等有关规定，不存在损害公司及股东利益的情形。</w:t>
      </w:r>
    </w:p>
    <w:p w14:paraId="0A397AF1" w14:textId="77777777" w:rsidR="00D34A09"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综上，监事会同意本激励计划首次授予的激励对象人数由122人调整为121人，首次授予的限制性股票数量由168.50万股调整为167.50万股，预留授予的限制性股票数量保持不变。</w:t>
      </w:r>
    </w:p>
    <w:p w14:paraId="5A2E32E9" w14:textId="77777777" w:rsidR="00D34A09" w:rsidRDefault="00000000" w:rsidP="0006780D">
      <w:pPr>
        <w:pStyle w:val="1"/>
        <w:spacing w:beforeLines="50" w:before="120" w:afterLines="50" w:after="120" w:line="360" w:lineRule="auto"/>
        <w:ind w:left="0" w:firstLineChars="200" w:firstLine="482"/>
        <w:rPr>
          <w:lang w:eastAsia="zh-CN"/>
        </w:rPr>
      </w:pPr>
      <w:r>
        <w:rPr>
          <w:rFonts w:hint="eastAsia"/>
          <w:lang w:eastAsia="zh-CN"/>
        </w:rPr>
        <w:t>六、法律意见书的结论性意见</w:t>
      </w:r>
    </w:p>
    <w:p w14:paraId="5CF6F43F" w14:textId="7EE965E1" w:rsidR="005D6921" w:rsidRPr="008F5DA5" w:rsidRDefault="00000000">
      <w:pPr>
        <w:spacing w:line="360" w:lineRule="auto"/>
        <w:ind w:firstLineChars="200" w:firstLine="480"/>
        <w:jc w:val="both"/>
        <w:rPr>
          <w:rFonts w:asciiTheme="majorEastAsia" w:eastAsiaTheme="majorEastAsia" w:hAnsiTheme="majorEastAsia"/>
          <w:b/>
          <w:bCs/>
          <w:sz w:val="24"/>
          <w:szCs w:val="24"/>
          <w:lang w:eastAsia="zh-CN"/>
        </w:rPr>
      </w:pPr>
      <w:r>
        <w:rPr>
          <w:rFonts w:asciiTheme="majorEastAsia" w:eastAsiaTheme="majorEastAsia" w:hAnsiTheme="majorEastAsia"/>
          <w:sz w:val="24"/>
          <w:szCs w:val="24"/>
          <w:lang w:eastAsia="zh-CN"/>
        </w:rPr>
        <w:t>上海市锦天城律师事务所认为：</w:t>
      </w:r>
      <w:r w:rsidR="005D6921" w:rsidRPr="005D6921">
        <w:rPr>
          <w:rFonts w:asciiTheme="majorEastAsia" w:eastAsiaTheme="majorEastAsia" w:hAnsiTheme="majorEastAsia" w:hint="eastAsia"/>
          <w:sz w:val="24"/>
          <w:szCs w:val="24"/>
          <w:lang w:eastAsia="zh-CN"/>
        </w:rPr>
        <w:t>截至本法律意见书出具之日，公司本次调整及授予相关事项已经获得了现阶段必要的批准和授权；本激励计划授予的激励对象人数和限制性股票数量的调整符合《管理办法》及本激励计划的有关规定；本次激励对象名单以及本次授予的授予日、授予对象和授予数量符合《管理办法》及本激励计划的有关规定；公司本次授予的授予条件已经满足，符合《管理办法》及本激励计划的有关规定。公司尚需按照相关法律、法规、规章及规范性文件的规定履行相应的信息披露义务，并向证券登记结算机构办理有关登记手续等事宜。</w:t>
      </w:r>
    </w:p>
    <w:p w14:paraId="4B72E931" w14:textId="77777777" w:rsidR="00D34A09" w:rsidRDefault="00000000" w:rsidP="008F5DA5">
      <w:pPr>
        <w:pStyle w:val="1"/>
        <w:spacing w:beforeLines="50" w:before="120" w:afterLines="50" w:after="120" w:line="360" w:lineRule="auto"/>
        <w:ind w:left="0" w:firstLineChars="200" w:firstLine="482"/>
        <w:rPr>
          <w:lang w:eastAsia="zh-CN"/>
        </w:rPr>
      </w:pPr>
      <w:r>
        <w:rPr>
          <w:rFonts w:hint="eastAsia"/>
          <w:lang w:eastAsia="zh-CN"/>
        </w:rPr>
        <w:t>七、独立财务顾问报告的结论性意见</w:t>
      </w:r>
    </w:p>
    <w:p w14:paraId="1268CDBA" w14:textId="77777777" w:rsidR="00D34A09" w:rsidRDefault="00000000">
      <w:pPr>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深圳市他山企业管理咨询有限公司认为：截至独立财务顾问报告出具日，公司和本激励计划首次授予的激励对象均符合《2023年限制性股票激励计划（草案）》规定的授予条件，本次调整及授予事项已经履行必要的审议程序和</w:t>
      </w:r>
      <w:r>
        <w:rPr>
          <w:rFonts w:asciiTheme="majorEastAsia" w:eastAsiaTheme="majorEastAsia" w:hAnsiTheme="majorEastAsia" w:hint="eastAsia"/>
          <w:sz w:val="24"/>
          <w:szCs w:val="24"/>
          <w:lang w:eastAsia="zh-CN"/>
        </w:rPr>
        <w:lastRenderedPageBreak/>
        <w:t>信息披露义务，符合《上市公司股权激励管理办法》《科创板上市公司自律监管指南第4号—股权激励信息披露》《2023年限制性股票激励计划（草案）》等相关规定。</w:t>
      </w:r>
    </w:p>
    <w:p w14:paraId="45FA00F7" w14:textId="77777777" w:rsidR="00D34A09" w:rsidRDefault="00D34A09">
      <w:pPr>
        <w:spacing w:line="360" w:lineRule="auto"/>
        <w:ind w:firstLineChars="200" w:firstLine="480"/>
        <w:jc w:val="both"/>
        <w:rPr>
          <w:rFonts w:asciiTheme="majorEastAsia" w:eastAsiaTheme="majorEastAsia" w:hAnsiTheme="majorEastAsia"/>
          <w:sz w:val="24"/>
          <w:szCs w:val="24"/>
          <w:lang w:eastAsia="zh-CN"/>
        </w:rPr>
      </w:pPr>
    </w:p>
    <w:p w14:paraId="2303EBE2" w14:textId="77777777" w:rsidR="00D34A09" w:rsidRDefault="00D34A09">
      <w:pPr>
        <w:spacing w:line="360" w:lineRule="auto"/>
        <w:ind w:left="284" w:right="284"/>
        <w:jc w:val="right"/>
        <w:rPr>
          <w:rFonts w:asciiTheme="majorEastAsia" w:eastAsiaTheme="majorEastAsia" w:hAnsiTheme="majorEastAsia"/>
          <w:sz w:val="24"/>
          <w:szCs w:val="24"/>
          <w:lang w:eastAsia="zh-CN"/>
        </w:rPr>
      </w:pPr>
    </w:p>
    <w:p w14:paraId="687D0302" w14:textId="77777777" w:rsidR="00D34A09" w:rsidRDefault="00000000">
      <w:pPr>
        <w:spacing w:line="360" w:lineRule="auto"/>
        <w:ind w:left="283" w:right="283"/>
        <w:jc w:val="right"/>
        <w:rPr>
          <w:rFonts w:cs="宋体"/>
          <w:lang w:eastAsia="zh-CN"/>
        </w:rPr>
      </w:pPr>
      <w:r>
        <w:rPr>
          <w:rFonts w:asciiTheme="majorEastAsia" w:eastAsiaTheme="majorEastAsia" w:hAnsiTheme="majorEastAsia" w:hint="eastAsia"/>
          <w:sz w:val="24"/>
          <w:szCs w:val="24"/>
          <w:lang w:eastAsia="zh-CN"/>
        </w:rPr>
        <w:t>赛恩斯环保股份有限公司董事会</w:t>
      </w:r>
    </w:p>
    <w:p w14:paraId="1EE94FA0" w14:textId="13427AF3" w:rsidR="00D34A09" w:rsidRDefault="00000000">
      <w:pPr>
        <w:spacing w:line="360" w:lineRule="auto"/>
        <w:ind w:left="283" w:right="283"/>
        <w:jc w:val="right"/>
        <w:rPr>
          <w:rFonts w:ascii="宋体" w:eastAsia="宋体" w:hAnsi="宋体" w:cs="Times New Roman"/>
          <w:kern w:val="2"/>
          <w:sz w:val="24"/>
          <w:szCs w:val="24"/>
          <w:lang w:eastAsia="zh-CN"/>
        </w:rPr>
      </w:pPr>
      <w:r>
        <w:rPr>
          <w:rFonts w:asciiTheme="majorEastAsia" w:eastAsiaTheme="majorEastAsia" w:hAnsiTheme="majorEastAsia" w:hint="eastAsia"/>
          <w:sz w:val="24"/>
          <w:szCs w:val="24"/>
          <w:lang w:eastAsia="zh-CN"/>
        </w:rPr>
        <w:t>2</w:t>
      </w:r>
      <w:r>
        <w:rPr>
          <w:rFonts w:asciiTheme="majorEastAsia" w:eastAsiaTheme="majorEastAsia" w:hAnsiTheme="majorEastAsia"/>
          <w:sz w:val="24"/>
          <w:szCs w:val="24"/>
          <w:lang w:eastAsia="zh-CN"/>
        </w:rPr>
        <w:t>023年</w:t>
      </w:r>
      <w:r>
        <w:rPr>
          <w:rFonts w:asciiTheme="majorEastAsia" w:eastAsiaTheme="majorEastAsia" w:hAnsiTheme="majorEastAsia" w:hint="eastAsia"/>
          <w:sz w:val="24"/>
          <w:szCs w:val="24"/>
          <w:lang w:eastAsia="zh-CN"/>
        </w:rPr>
        <w:t>4</w:t>
      </w:r>
      <w:r>
        <w:rPr>
          <w:rFonts w:asciiTheme="majorEastAsia" w:eastAsiaTheme="majorEastAsia" w:hAnsiTheme="majorEastAsia"/>
          <w:sz w:val="24"/>
          <w:szCs w:val="24"/>
          <w:lang w:eastAsia="zh-CN"/>
        </w:rPr>
        <w:t>月</w:t>
      </w:r>
      <w:r w:rsidR="003832C9">
        <w:rPr>
          <w:rFonts w:asciiTheme="majorEastAsia" w:eastAsiaTheme="majorEastAsia" w:hAnsiTheme="majorEastAsia"/>
          <w:sz w:val="24"/>
          <w:szCs w:val="24"/>
          <w:lang w:eastAsia="zh-CN"/>
        </w:rPr>
        <w:t>25</w:t>
      </w:r>
      <w:r>
        <w:rPr>
          <w:rFonts w:asciiTheme="majorEastAsia" w:eastAsiaTheme="majorEastAsia" w:hAnsiTheme="majorEastAsia" w:hint="eastAsia"/>
          <w:sz w:val="24"/>
          <w:szCs w:val="24"/>
          <w:lang w:eastAsia="zh-CN"/>
        </w:rPr>
        <w:t>日</w:t>
      </w:r>
    </w:p>
    <w:sectPr w:rsidR="00D34A09">
      <w:footerReference w:type="default" r:id="rId7"/>
      <w:pgSz w:w="11910" w:h="16840"/>
      <w:pgMar w:top="1440" w:right="1803" w:bottom="1440" w:left="1803"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52058" w14:textId="77777777" w:rsidR="008802BE" w:rsidRDefault="008802BE">
      <w:r>
        <w:separator/>
      </w:r>
    </w:p>
  </w:endnote>
  <w:endnote w:type="continuationSeparator" w:id="0">
    <w:p w14:paraId="01975CED" w14:textId="77777777" w:rsidR="008802BE" w:rsidRDefault="0088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055D" w14:textId="77777777" w:rsidR="00D34A09" w:rsidRDefault="00000000">
    <w:pPr>
      <w:spacing w:line="14" w:lineRule="auto"/>
      <w:rPr>
        <w:sz w:val="20"/>
        <w:szCs w:val="20"/>
      </w:rPr>
    </w:pPr>
    <w:r>
      <w:rPr>
        <w:noProof/>
        <w:lang w:eastAsia="zh-CN"/>
      </w:rPr>
      <mc:AlternateContent>
        <mc:Choice Requires="wps">
          <w:drawing>
            <wp:anchor distT="0" distB="0" distL="114300" distR="114300" simplePos="0" relativeHeight="251660288" behindDoc="1" locked="0" layoutInCell="1" allowOverlap="1" wp14:anchorId="28C0A152" wp14:editId="00F97F70">
              <wp:simplePos x="0" y="0"/>
              <wp:positionH relativeFrom="page">
                <wp:posOffset>3683000</wp:posOffset>
              </wp:positionH>
              <wp:positionV relativeFrom="page">
                <wp:posOffset>9930765</wp:posOffset>
              </wp:positionV>
              <wp:extent cx="241935"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139700"/>
                      </a:xfrm>
                      <a:prstGeom prst="rect">
                        <a:avLst/>
                      </a:prstGeom>
                      <a:noFill/>
                      <a:ln>
                        <a:noFill/>
                      </a:ln>
                    </wps:spPr>
                    <wps:txbx>
                      <w:txbxContent>
                        <w:p w14:paraId="61C734C2" w14:textId="77777777" w:rsidR="00D34A09" w:rsidRDefault="00000000">
                          <w:pPr>
                            <w:spacing w:line="204" w:lineRule="exact"/>
                            <w:ind w:left="40"/>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4</w:t>
                          </w:r>
                          <w:r>
                            <w:rPr>
                              <w:rFonts w:ascii="Times New Roman" w:eastAsia="Times New Roman" w:hAnsi="Times New Roman" w:cs="Times New Roman"/>
                              <w:sz w:val="18"/>
                              <w:szCs w:val="18"/>
                            </w:rPr>
                            <w:fldChar w:fldCharType="end"/>
                          </w:r>
                        </w:p>
                      </w:txbxContent>
                    </wps:txbx>
                    <wps:bodyPr rot="0" vert="horz" wrap="square" lIns="0" tIns="0" rIns="0" bIns="0" anchor="t" anchorCtr="0" upright="1">
                      <a:noAutofit/>
                    </wps:bodyPr>
                  </wps:wsp>
                </a:graphicData>
              </a:graphic>
            </wp:anchor>
          </w:drawing>
        </mc:Choice>
        <mc:Fallback>
          <w:pict>
            <v:shapetype w14:anchorId="28C0A152" id="_x0000_t202" coordsize="21600,21600" o:spt="202" path="m,l,21600r21600,l21600,xe">
              <v:stroke joinstyle="miter"/>
              <v:path gradientshapeok="t" o:connecttype="rect"/>
            </v:shapetype>
            <v:shape id="Text Box 1" o:spid="_x0000_s1027" type="#_x0000_t202" style="position:absolute;margin-left:290pt;margin-top:781.95pt;width:19.05pt;height:1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" filled="f" stroked="f">
              <v:textbox inset="0,0,0,0">
                <w:txbxContent>
                  <w:p w14:paraId="61C734C2" w14:textId="77777777" w:rsidR="00D34A09" w:rsidRDefault="00000000">
                    <w:pPr>
                      <w:spacing w:line="204" w:lineRule="exact"/>
                      <w:ind w:left="40"/>
                      <w:rPr>
                        <w:rFonts w:ascii="Times New Roman" w:eastAsia="Times New Roman" w:hAnsi="Times New Roman" w:cs="Times New Roman"/>
                        <w:sz w:val="18"/>
                        <w:szCs w:val="18"/>
                      </w:rPr>
                    </w:pP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 MERGEFORMAT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4</w:t>
                    </w:r>
                    <w:r>
                      <w:rPr>
                        <w:rFonts w:ascii="Times New Roman" w:eastAsia="Times New Roman" w:hAnsi="Times New Roman" w:cs="Times New Roman"/>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5790" w14:textId="77777777" w:rsidR="008802BE" w:rsidRDefault="008802BE">
      <w:r>
        <w:separator/>
      </w:r>
    </w:p>
  </w:footnote>
  <w:footnote w:type="continuationSeparator" w:id="0">
    <w:p w14:paraId="4B6406FD" w14:textId="77777777" w:rsidR="008802BE" w:rsidRDefault="00880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Q2MGYyOTlkYjA2ZDAxZjg0NDRhMTg5NzM1YjYzN2EifQ=="/>
  </w:docVars>
  <w:rsids>
    <w:rsidRoot w:val="003F085C"/>
    <w:rsid w:val="FF77C15C"/>
    <w:rsid w:val="00000BBD"/>
    <w:rsid w:val="00000F10"/>
    <w:rsid w:val="000134C7"/>
    <w:rsid w:val="000272BF"/>
    <w:rsid w:val="00062807"/>
    <w:rsid w:val="00063455"/>
    <w:rsid w:val="0006780D"/>
    <w:rsid w:val="00076B37"/>
    <w:rsid w:val="000900FF"/>
    <w:rsid w:val="000A12F8"/>
    <w:rsid w:val="000F4EC5"/>
    <w:rsid w:val="00101A17"/>
    <w:rsid w:val="001034E8"/>
    <w:rsid w:val="00103B72"/>
    <w:rsid w:val="0012493F"/>
    <w:rsid w:val="00143296"/>
    <w:rsid w:val="0015397F"/>
    <w:rsid w:val="00163CE9"/>
    <w:rsid w:val="00174270"/>
    <w:rsid w:val="00180060"/>
    <w:rsid w:val="00183FB2"/>
    <w:rsid w:val="0019360E"/>
    <w:rsid w:val="001A7522"/>
    <w:rsid w:val="00203595"/>
    <w:rsid w:val="0020492E"/>
    <w:rsid w:val="00204DE3"/>
    <w:rsid w:val="00225CFC"/>
    <w:rsid w:val="002510CD"/>
    <w:rsid w:val="00260926"/>
    <w:rsid w:val="00273593"/>
    <w:rsid w:val="002755CF"/>
    <w:rsid w:val="00280C5F"/>
    <w:rsid w:val="00284673"/>
    <w:rsid w:val="00294559"/>
    <w:rsid w:val="002C5A71"/>
    <w:rsid w:val="002D27BC"/>
    <w:rsid w:val="002E7AFF"/>
    <w:rsid w:val="002E7C39"/>
    <w:rsid w:val="002E7F23"/>
    <w:rsid w:val="002F2255"/>
    <w:rsid w:val="002F573A"/>
    <w:rsid w:val="00300DF9"/>
    <w:rsid w:val="00305710"/>
    <w:rsid w:val="00311831"/>
    <w:rsid w:val="003128E4"/>
    <w:rsid w:val="0032153B"/>
    <w:rsid w:val="00344126"/>
    <w:rsid w:val="00354BB4"/>
    <w:rsid w:val="003573E3"/>
    <w:rsid w:val="00364A63"/>
    <w:rsid w:val="003664CD"/>
    <w:rsid w:val="00373D93"/>
    <w:rsid w:val="003832C9"/>
    <w:rsid w:val="003958BD"/>
    <w:rsid w:val="0039712C"/>
    <w:rsid w:val="003B02D0"/>
    <w:rsid w:val="003B0799"/>
    <w:rsid w:val="003C6C78"/>
    <w:rsid w:val="003D443D"/>
    <w:rsid w:val="003F085C"/>
    <w:rsid w:val="00405510"/>
    <w:rsid w:val="004161EE"/>
    <w:rsid w:val="00430D11"/>
    <w:rsid w:val="004355EC"/>
    <w:rsid w:val="00455073"/>
    <w:rsid w:val="00460F64"/>
    <w:rsid w:val="004730E7"/>
    <w:rsid w:val="0048325F"/>
    <w:rsid w:val="0048781B"/>
    <w:rsid w:val="00493378"/>
    <w:rsid w:val="004A2D19"/>
    <w:rsid w:val="004B06F0"/>
    <w:rsid w:val="004B24CB"/>
    <w:rsid w:val="004B79C9"/>
    <w:rsid w:val="004D457E"/>
    <w:rsid w:val="004E33EA"/>
    <w:rsid w:val="004E4D43"/>
    <w:rsid w:val="00506DE1"/>
    <w:rsid w:val="00511702"/>
    <w:rsid w:val="00512177"/>
    <w:rsid w:val="005308AB"/>
    <w:rsid w:val="00541F3D"/>
    <w:rsid w:val="0055359E"/>
    <w:rsid w:val="005562F4"/>
    <w:rsid w:val="00561288"/>
    <w:rsid w:val="00585ACC"/>
    <w:rsid w:val="005904AA"/>
    <w:rsid w:val="00594378"/>
    <w:rsid w:val="005A1642"/>
    <w:rsid w:val="005A2327"/>
    <w:rsid w:val="005A3087"/>
    <w:rsid w:val="005A476A"/>
    <w:rsid w:val="005D6921"/>
    <w:rsid w:val="005E5041"/>
    <w:rsid w:val="005E5BB1"/>
    <w:rsid w:val="00633B1E"/>
    <w:rsid w:val="006409DA"/>
    <w:rsid w:val="00654CEF"/>
    <w:rsid w:val="00656697"/>
    <w:rsid w:val="00660EEF"/>
    <w:rsid w:val="00671639"/>
    <w:rsid w:val="00696D0C"/>
    <w:rsid w:val="006C7758"/>
    <w:rsid w:val="006D0D07"/>
    <w:rsid w:val="006D11F9"/>
    <w:rsid w:val="006D5154"/>
    <w:rsid w:val="00700447"/>
    <w:rsid w:val="00704293"/>
    <w:rsid w:val="0071181F"/>
    <w:rsid w:val="00716918"/>
    <w:rsid w:val="00754C0F"/>
    <w:rsid w:val="007569AD"/>
    <w:rsid w:val="007646B4"/>
    <w:rsid w:val="00773D09"/>
    <w:rsid w:val="00775CFD"/>
    <w:rsid w:val="007968E2"/>
    <w:rsid w:val="007B42EF"/>
    <w:rsid w:val="007C4EC4"/>
    <w:rsid w:val="007D1889"/>
    <w:rsid w:val="007D22AF"/>
    <w:rsid w:val="007E08D3"/>
    <w:rsid w:val="00800A81"/>
    <w:rsid w:val="00816919"/>
    <w:rsid w:val="00854DAA"/>
    <w:rsid w:val="00856BF7"/>
    <w:rsid w:val="0086020F"/>
    <w:rsid w:val="00862839"/>
    <w:rsid w:val="008778D3"/>
    <w:rsid w:val="008802BE"/>
    <w:rsid w:val="008F5DA5"/>
    <w:rsid w:val="00900E48"/>
    <w:rsid w:val="00900EDC"/>
    <w:rsid w:val="00912027"/>
    <w:rsid w:val="00913DDD"/>
    <w:rsid w:val="00920F96"/>
    <w:rsid w:val="009573A7"/>
    <w:rsid w:val="00957872"/>
    <w:rsid w:val="009713E2"/>
    <w:rsid w:val="009A1AB8"/>
    <w:rsid w:val="009B4EED"/>
    <w:rsid w:val="009C0AD9"/>
    <w:rsid w:val="009C7829"/>
    <w:rsid w:val="009F32C8"/>
    <w:rsid w:val="009F4E37"/>
    <w:rsid w:val="00A07E10"/>
    <w:rsid w:val="00A11CCE"/>
    <w:rsid w:val="00A3036C"/>
    <w:rsid w:val="00A4425F"/>
    <w:rsid w:val="00A6741A"/>
    <w:rsid w:val="00A834A4"/>
    <w:rsid w:val="00A84465"/>
    <w:rsid w:val="00AB1A1D"/>
    <w:rsid w:val="00AC28B8"/>
    <w:rsid w:val="00AD535D"/>
    <w:rsid w:val="00AD74E8"/>
    <w:rsid w:val="00AE4C21"/>
    <w:rsid w:val="00B25A5E"/>
    <w:rsid w:val="00B274C9"/>
    <w:rsid w:val="00B30098"/>
    <w:rsid w:val="00B42C75"/>
    <w:rsid w:val="00B43669"/>
    <w:rsid w:val="00B45BCA"/>
    <w:rsid w:val="00B55431"/>
    <w:rsid w:val="00B612E5"/>
    <w:rsid w:val="00B62094"/>
    <w:rsid w:val="00B63BD5"/>
    <w:rsid w:val="00B740F1"/>
    <w:rsid w:val="00B75262"/>
    <w:rsid w:val="00BA108B"/>
    <w:rsid w:val="00BA6BD9"/>
    <w:rsid w:val="00BB4D60"/>
    <w:rsid w:val="00BD2B06"/>
    <w:rsid w:val="00C04EBF"/>
    <w:rsid w:val="00C06FA9"/>
    <w:rsid w:val="00C21557"/>
    <w:rsid w:val="00C75015"/>
    <w:rsid w:val="00C85C46"/>
    <w:rsid w:val="00C86721"/>
    <w:rsid w:val="00C924C8"/>
    <w:rsid w:val="00CA5373"/>
    <w:rsid w:val="00CC603F"/>
    <w:rsid w:val="00CE3B33"/>
    <w:rsid w:val="00CE46E8"/>
    <w:rsid w:val="00CE4F05"/>
    <w:rsid w:val="00CF6737"/>
    <w:rsid w:val="00D132BA"/>
    <w:rsid w:val="00D16654"/>
    <w:rsid w:val="00D34A09"/>
    <w:rsid w:val="00D71E81"/>
    <w:rsid w:val="00DA2184"/>
    <w:rsid w:val="00DC0E18"/>
    <w:rsid w:val="00DC7368"/>
    <w:rsid w:val="00DC7765"/>
    <w:rsid w:val="00DF68B2"/>
    <w:rsid w:val="00E3286C"/>
    <w:rsid w:val="00E51C6F"/>
    <w:rsid w:val="00E644F0"/>
    <w:rsid w:val="00E672DE"/>
    <w:rsid w:val="00E7084E"/>
    <w:rsid w:val="00EA106E"/>
    <w:rsid w:val="00EC342A"/>
    <w:rsid w:val="00EC5FDF"/>
    <w:rsid w:val="00EE2B39"/>
    <w:rsid w:val="00EF57BD"/>
    <w:rsid w:val="00F02E36"/>
    <w:rsid w:val="00F07853"/>
    <w:rsid w:val="00F54B4D"/>
    <w:rsid w:val="00F658BE"/>
    <w:rsid w:val="00F861C7"/>
    <w:rsid w:val="00F8744F"/>
    <w:rsid w:val="00F9751A"/>
    <w:rsid w:val="00FD2820"/>
    <w:rsid w:val="00FD52D0"/>
    <w:rsid w:val="00FF3BAF"/>
    <w:rsid w:val="00FF7574"/>
    <w:rsid w:val="026A380A"/>
    <w:rsid w:val="13C96CEA"/>
    <w:rsid w:val="152B545F"/>
    <w:rsid w:val="17D02B6E"/>
    <w:rsid w:val="18325B5A"/>
    <w:rsid w:val="1A626DED"/>
    <w:rsid w:val="1C8B0004"/>
    <w:rsid w:val="1D941622"/>
    <w:rsid w:val="21BD0646"/>
    <w:rsid w:val="239E6C58"/>
    <w:rsid w:val="240D43A8"/>
    <w:rsid w:val="25E050E4"/>
    <w:rsid w:val="265946A9"/>
    <w:rsid w:val="2AF84B1D"/>
    <w:rsid w:val="2C960FA9"/>
    <w:rsid w:val="2F74046F"/>
    <w:rsid w:val="35BC3526"/>
    <w:rsid w:val="36930279"/>
    <w:rsid w:val="383C619B"/>
    <w:rsid w:val="3C884BE7"/>
    <w:rsid w:val="3F563989"/>
    <w:rsid w:val="404F2343"/>
    <w:rsid w:val="463F4153"/>
    <w:rsid w:val="4DD018CB"/>
    <w:rsid w:val="4DF7795B"/>
    <w:rsid w:val="4F4C20F8"/>
    <w:rsid w:val="54B36C45"/>
    <w:rsid w:val="561E5835"/>
    <w:rsid w:val="57492374"/>
    <w:rsid w:val="58663827"/>
    <w:rsid w:val="6110602C"/>
    <w:rsid w:val="631775E8"/>
    <w:rsid w:val="64611231"/>
    <w:rsid w:val="68D55992"/>
    <w:rsid w:val="6AD3401E"/>
    <w:rsid w:val="71940305"/>
    <w:rsid w:val="75AD3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64C38D4"/>
  <w15:docId w15:val="{2518BFF1-B0D6-48A0-A2EA-51C4C242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 w:val="22"/>
      <w:szCs w:val="22"/>
      <w:lang w:eastAsia="en-US"/>
    </w:rPr>
  </w:style>
  <w:style w:type="paragraph" w:styleId="1">
    <w:name w:val="heading 1"/>
    <w:basedOn w:val="a"/>
    <w:next w:val="a"/>
    <w:uiPriority w:val="9"/>
    <w:qFormat/>
    <w:pPr>
      <w:spacing w:before="192"/>
      <w:ind w:left="600" w:firstLine="2"/>
      <w:outlineLvl w:val="0"/>
    </w:pPr>
    <w:rPr>
      <w:rFonts w:ascii="宋体" w:eastAsia="宋体" w:hAns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uiPriority w:val="1"/>
    <w:qFormat/>
    <w:pPr>
      <w:ind w:left="120"/>
    </w:pPr>
    <w:rPr>
      <w:rFonts w:ascii="宋体" w:eastAsia="宋体" w:hAnsi="宋体"/>
      <w:sz w:val="24"/>
      <w:szCs w:val="24"/>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pPr>
    <w:rPr>
      <w:rFonts w:ascii="宋体" w:eastAsia="宋体" w:hAnsi="宋体" w:cs="宋体"/>
      <w:sz w:val="24"/>
      <w:szCs w:val="24"/>
      <w:lang w:eastAsia="zh-CN"/>
    </w:rPr>
  </w:style>
  <w:style w:type="paragraph" w:styleId="ad">
    <w:name w:val="annotation subject"/>
    <w:basedOn w:val="a3"/>
    <w:next w:val="a3"/>
    <w:link w:val="ae"/>
    <w:uiPriority w:val="99"/>
    <w:unhideWhenUsed/>
    <w:qFormat/>
    <w:rPr>
      <w:b/>
      <w:bCs/>
    </w:rPr>
  </w:style>
  <w:style w:type="character" w:styleId="af">
    <w:name w:val="annotation reference"/>
    <w:basedOn w:val="a0"/>
    <w:uiPriority w:val="99"/>
    <w:unhideWhenUsed/>
    <w:qFormat/>
    <w:rPr>
      <w:sz w:val="21"/>
      <w:szCs w:val="21"/>
    </w:rPr>
  </w:style>
  <w:style w:type="table" w:customStyle="1" w:styleId="TableNormal1">
    <w:name w:val="Table Normal1"/>
    <w:uiPriority w:val="2"/>
    <w:unhideWhenUsed/>
    <w:qFormat/>
    <w:tblPr>
      <w:tblCellMar>
        <w:top w:w="0" w:type="dxa"/>
        <w:left w:w="0" w:type="dxa"/>
        <w:bottom w:w="0" w:type="dxa"/>
        <w:right w:w="0" w:type="dxa"/>
      </w:tblCellMar>
    </w:tblPr>
  </w:style>
  <w:style w:type="paragraph" w:customStyle="1" w:styleId="10">
    <w:name w:val="列表段落1"/>
    <w:basedOn w:val="a"/>
    <w:uiPriority w:val="1"/>
    <w:qFormat/>
  </w:style>
  <w:style w:type="paragraph" w:customStyle="1" w:styleId="TableParagraph">
    <w:name w:val="Table Paragraph"/>
    <w:basedOn w:val="a"/>
    <w:uiPriority w:val="1"/>
    <w:qFormat/>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a7">
    <w:name w:val="批注框文本 字符"/>
    <w:basedOn w:val="a0"/>
    <w:link w:val="a6"/>
    <w:uiPriority w:val="99"/>
    <w:semiHidden/>
    <w:qFormat/>
    <w:rPr>
      <w:sz w:val="18"/>
      <w:szCs w:val="18"/>
    </w:rPr>
  </w:style>
  <w:style w:type="paragraph" w:styleId="af0">
    <w:name w:val="List Paragraph"/>
    <w:basedOn w:val="a"/>
    <w:uiPriority w:val="99"/>
    <w:qFormat/>
    <w:pPr>
      <w:ind w:firstLineChars="200" w:firstLine="420"/>
    </w:pPr>
  </w:style>
  <w:style w:type="paragraph" w:customStyle="1" w:styleId="11">
    <w:name w:val="修订1"/>
    <w:hidden/>
    <w:uiPriority w:val="99"/>
    <w:semiHidden/>
    <w:qFormat/>
    <w:rPr>
      <w:sz w:val="22"/>
      <w:szCs w:val="22"/>
      <w:lang w:eastAsia="en-US"/>
    </w:rPr>
  </w:style>
  <w:style w:type="paragraph" w:customStyle="1" w:styleId="2">
    <w:name w:val="修订2"/>
    <w:hidden/>
    <w:uiPriority w:val="99"/>
    <w:semiHidden/>
    <w:qFormat/>
    <w:rPr>
      <w:sz w:val="22"/>
      <w:szCs w:val="22"/>
      <w:lang w:eastAsia="en-US"/>
    </w:rPr>
  </w:style>
  <w:style w:type="paragraph" w:customStyle="1" w:styleId="3">
    <w:name w:val="修订3"/>
    <w:hidden/>
    <w:uiPriority w:val="99"/>
    <w:semiHidden/>
    <w:qFormat/>
    <w:rPr>
      <w:sz w:val="22"/>
      <w:szCs w:val="22"/>
      <w:lang w:eastAsia="en-US"/>
    </w:rPr>
  </w:style>
  <w:style w:type="paragraph" w:customStyle="1" w:styleId="4">
    <w:name w:val="修订4"/>
    <w:hidden/>
    <w:uiPriority w:val="99"/>
    <w:semiHidden/>
    <w:qFormat/>
    <w:rPr>
      <w:sz w:val="22"/>
      <w:szCs w:val="22"/>
      <w:lang w:eastAsia="en-US"/>
    </w:rPr>
  </w:style>
  <w:style w:type="paragraph" w:styleId="af1">
    <w:name w:val="Revision"/>
    <w:hidden/>
    <w:uiPriority w:val="99"/>
    <w:semiHidden/>
    <w:rsid w:val="00460F6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邢维维</dc:creator>
  <cp:lastModifiedBy>SES0140</cp:lastModifiedBy>
  <cp:revision>8</cp:revision>
  <dcterms:created xsi:type="dcterms:W3CDTF">2023-04-19T09:27:00Z</dcterms:created>
  <dcterms:modified xsi:type="dcterms:W3CDTF">2023-04-24T02:42:00Z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2020-11-03T00:00:00Z</vt:filetime>
  </property>
  <property fmtid="{D5CDD505-2E9C-101B-9397-08002B2CF9AE}" pid="3" name="Creator">
    <vt:lpwstr>Microsoft® Office Word 2007</vt:lpwstr>
  </property>
  <property fmtid="{D5CDD505-2E9C-101B-9397-08002B2CF9AE}" pid="4" name="LastSaved">
    <vt:filetime>2020-11-04T00:00:00Z</vt:filetime>
  </property>
  <property fmtid="{D5CDD505-2E9C-101B-9397-08002B2CF9AE}" pid="5" name="KSOProductBuildVer">
    <vt:lpwstr>2052-11.1.0.14036</vt:lpwstr>
  </property>
  <property fmtid="{D5CDD505-2E9C-101B-9397-08002B2CF9AE}" pid="6" name="ICV">
    <vt:lpwstr>3F7168E2546E457687DF7BFE23B2F861</vt:lpwstr>
  </property>
</Properties>
</file>