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0" w:type="auto"/>
        <w:tblInd w:w="110" w:type="dxa"/>
        <w:tblLayout w:type="fixed"/>
        <w:tblLook w:val="04A0" w:firstRow="1" w:lastRow="0" w:firstColumn="1" w:lastColumn="0" w:noHBand="0" w:noVBand="1"/>
      </w:tblPr>
      <w:tblGrid>
        <w:gridCol w:w="2711"/>
        <w:gridCol w:w="3214"/>
        <w:gridCol w:w="2843"/>
      </w:tblGrid>
      <w:tr w:rsidR="00363362" w:rsidRPr="00BE49E0" w14:paraId="41AE2CE2" w14:textId="77777777" w:rsidTr="00522470">
        <w:trPr>
          <w:trHeight w:hRule="exact" w:val="373"/>
        </w:trPr>
        <w:tc>
          <w:tcPr>
            <w:tcW w:w="2711" w:type="dxa"/>
            <w:tcBorders>
              <w:top w:val="nil"/>
              <w:left w:val="nil"/>
              <w:bottom w:val="nil"/>
              <w:right w:val="nil"/>
            </w:tcBorders>
          </w:tcPr>
          <w:p w14:paraId="512664CE" w14:textId="77777777" w:rsidR="00363362" w:rsidRPr="00363362" w:rsidRDefault="00363362" w:rsidP="00522470">
            <w:pPr>
              <w:pStyle w:val="TableParagraph"/>
              <w:spacing w:line="318" w:lineRule="exact"/>
              <w:ind w:left="230"/>
              <w:rPr>
                <w:rFonts w:ascii="宋体" w:eastAsia="宋体" w:hAnsi="宋体" w:cs="Times New Roman"/>
                <w:b/>
                <w:bCs/>
                <w:sz w:val="24"/>
                <w:szCs w:val="24"/>
              </w:rPr>
            </w:pPr>
            <w:r w:rsidRPr="00363362">
              <w:rPr>
                <w:rFonts w:ascii="宋体" w:eastAsia="宋体" w:hAnsi="宋体" w:cs="宋体"/>
                <w:b/>
                <w:bCs/>
                <w:sz w:val="24"/>
                <w:szCs w:val="24"/>
              </w:rPr>
              <w:t>证券代码：</w:t>
            </w:r>
            <w:r w:rsidRPr="00363362">
              <w:rPr>
                <w:rFonts w:ascii="宋体" w:eastAsia="宋体" w:hAnsi="宋体" w:cs="Times New Roman"/>
                <w:b/>
                <w:bCs/>
                <w:sz w:val="24"/>
                <w:szCs w:val="24"/>
                <w:lang w:eastAsia="zh-CN"/>
              </w:rPr>
              <w:t>688480</w:t>
            </w:r>
          </w:p>
        </w:tc>
        <w:tc>
          <w:tcPr>
            <w:tcW w:w="3214" w:type="dxa"/>
            <w:tcBorders>
              <w:top w:val="nil"/>
              <w:left w:val="nil"/>
              <w:bottom w:val="nil"/>
              <w:right w:val="nil"/>
            </w:tcBorders>
          </w:tcPr>
          <w:p w14:paraId="48F61418" w14:textId="77777777" w:rsidR="00363362" w:rsidRPr="00363362" w:rsidRDefault="00363362" w:rsidP="00522470">
            <w:pPr>
              <w:pStyle w:val="TableParagraph"/>
              <w:spacing w:line="300" w:lineRule="exact"/>
              <w:ind w:left="560"/>
              <w:rPr>
                <w:rFonts w:ascii="宋体" w:eastAsia="宋体" w:hAnsi="宋体" w:cs="宋体"/>
                <w:b/>
                <w:bCs/>
                <w:sz w:val="24"/>
                <w:szCs w:val="24"/>
              </w:rPr>
            </w:pPr>
            <w:proofErr w:type="spellStart"/>
            <w:r w:rsidRPr="00363362">
              <w:rPr>
                <w:rFonts w:ascii="宋体" w:eastAsia="宋体" w:hAnsi="宋体" w:cs="宋体"/>
                <w:b/>
                <w:bCs/>
                <w:sz w:val="24"/>
                <w:szCs w:val="24"/>
              </w:rPr>
              <w:t>证券简称</w:t>
            </w:r>
            <w:proofErr w:type="spellEnd"/>
            <w:r w:rsidRPr="00363362">
              <w:rPr>
                <w:rFonts w:ascii="宋体" w:eastAsia="宋体" w:hAnsi="宋体" w:cs="宋体"/>
                <w:b/>
                <w:bCs/>
                <w:sz w:val="24"/>
                <w:szCs w:val="24"/>
              </w:rPr>
              <w:t>：</w:t>
            </w:r>
            <w:r w:rsidRPr="00363362">
              <w:rPr>
                <w:rFonts w:ascii="宋体" w:eastAsia="宋体" w:hAnsi="宋体" w:cs="Times New Roman" w:hint="eastAsia"/>
                <w:b/>
                <w:bCs/>
                <w:sz w:val="24"/>
                <w:szCs w:val="24"/>
                <w:lang w:eastAsia="zh-CN"/>
              </w:rPr>
              <w:t>赛恩斯</w:t>
            </w:r>
          </w:p>
        </w:tc>
        <w:tc>
          <w:tcPr>
            <w:tcW w:w="2843" w:type="dxa"/>
            <w:tcBorders>
              <w:top w:val="nil"/>
              <w:left w:val="nil"/>
              <w:bottom w:val="nil"/>
              <w:right w:val="nil"/>
            </w:tcBorders>
          </w:tcPr>
          <w:p w14:paraId="236DADB8" w14:textId="02F5B7D2" w:rsidR="00363362" w:rsidRPr="00363362" w:rsidRDefault="00363362" w:rsidP="00522470">
            <w:pPr>
              <w:pStyle w:val="TableParagraph"/>
              <w:spacing w:line="318" w:lineRule="exact"/>
              <w:rPr>
                <w:rFonts w:ascii="宋体" w:eastAsia="宋体" w:hAnsi="宋体" w:cs="Times New Roman"/>
                <w:b/>
                <w:bCs/>
                <w:sz w:val="24"/>
                <w:szCs w:val="24"/>
                <w:lang w:eastAsia="zh-CN"/>
              </w:rPr>
            </w:pPr>
            <w:r w:rsidRPr="00363362">
              <w:rPr>
                <w:rFonts w:ascii="宋体" w:eastAsia="宋体" w:hAnsi="宋体" w:cs="宋体"/>
                <w:b/>
                <w:bCs/>
                <w:sz w:val="24"/>
                <w:szCs w:val="24"/>
              </w:rPr>
              <w:t>公告编号：</w:t>
            </w:r>
            <w:r w:rsidRPr="00363362">
              <w:rPr>
                <w:rFonts w:ascii="宋体" w:eastAsia="宋体" w:hAnsi="宋体" w:cs="Times New Roman"/>
                <w:b/>
                <w:bCs/>
                <w:sz w:val="24"/>
                <w:szCs w:val="24"/>
              </w:rPr>
              <w:t>202</w:t>
            </w:r>
            <w:r w:rsidRPr="00363362">
              <w:rPr>
                <w:rFonts w:ascii="宋体" w:eastAsia="宋体" w:hAnsi="宋体" w:cs="Times New Roman"/>
                <w:b/>
                <w:bCs/>
                <w:sz w:val="24"/>
                <w:szCs w:val="24"/>
                <w:lang w:eastAsia="zh-CN"/>
              </w:rPr>
              <w:t>3</w:t>
            </w:r>
            <w:r w:rsidRPr="00363362">
              <w:rPr>
                <w:rFonts w:ascii="宋体" w:eastAsia="宋体" w:hAnsi="宋体" w:cs="Times New Roman"/>
                <w:b/>
                <w:bCs/>
                <w:sz w:val="24"/>
                <w:szCs w:val="24"/>
              </w:rPr>
              <w:t>-</w:t>
            </w:r>
            <w:r w:rsidRPr="00363362">
              <w:rPr>
                <w:rFonts w:ascii="宋体" w:eastAsia="宋体" w:hAnsi="宋体" w:cs="Times New Roman" w:hint="eastAsia"/>
                <w:b/>
                <w:bCs/>
                <w:sz w:val="24"/>
                <w:szCs w:val="24"/>
                <w:lang w:eastAsia="zh-CN"/>
              </w:rPr>
              <w:t>0</w:t>
            </w:r>
            <w:r w:rsidRPr="00363362">
              <w:rPr>
                <w:rFonts w:ascii="宋体" w:eastAsia="宋体" w:hAnsi="宋体" w:cs="Times New Roman"/>
                <w:b/>
                <w:bCs/>
                <w:sz w:val="24"/>
                <w:szCs w:val="24"/>
                <w:lang w:eastAsia="zh-CN"/>
              </w:rPr>
              <w:t>2</w:t>
            </w:r>
            <w:r w:rsidR="000A32F2">
              <w:rPr>
                <w:rFonts w:ascii="宋体" w:eastAsia="宋体" w:hAnsi="宋体" w:cs="Times New Roman"/>
                <w:b/>
                <w:bCs/>
                <w:sz w:val="24"/>
                <w:szCs w:val="24"/>
                <w:lang w:eastAsia="zh-CN"/>
              </w:rPr>
              <w:t>4</w:t>
            </w:r>
          </w:p>
        </w:tc>
      </w:tr>
    </w:tbl>
    <w:p w14:paraId="1D93FB8F" w14:textId="77777777" w:rsidR="00363362" w:rsidRPr="002051C2" w:rsidRDefault="00363362" w:rsidP="00E1093A">
      <w:pPr>
        <w:snapToGrid w:val="0"/>
        <w:spacing w:line="560" w:lineRule="exact"/>
        <w:jc w:val="center"/>
        <w:rPr>
          <w:rFonts w:ascii="宋体" w:hAnsi="宋体"/>
          <w:b/>
          <w:bCs/>
          <w:color w:val="000000"/>
          <w:szCs w:val="21"/>
        </w:rPr>
      </w:pPr>
    </w:p>
    <w:p w14:paraId="3DCE6071" w14:textId="5FB0D2CD" w:rsidR="00E1093A" w:rsidRPr="0018174C" w:rsidRDefault="00D456AC" w:rsidP="00E1093A">
      <w:pPr>
        <w:snapToGrid w:val="0"/>
        <w:spacing w:line="560" w:lineRule="exact"/>
        <w:jc w:val="center"/>
        <w:rPr>
          <w:rFonts w:ascii="宋体" w:hAnsi="宋体"/>
          <w:b/>
          <w:bCs/>
          <w:color w:val="FF0000"/>
          <w:sz w:val="40"/>
          <w:szCs w:val="40"/>
        </w:rPr>
      </w:pPr>
      <w:r w:rsidRPr="0018174C">
        <w:rPr>
          <w:rFonts w:ascii="宋体" w:hAnsi="宋体" w:hint="eastAsia"/>
          <w:b/>
          <w:bCs/>
          <w:color w:val="FF0000"/>
          <w:sz w:val="40"/>
          <w:szCs w:val="40"/>
        </w:rPr>
        <w:t>赛恩斯环保</w:t>
      </w:r>
      <w:r w:rsidR="00E1093A" w:rsidRPr="0018174C">
        <w:rPr>
          <w:rFonts w:ascii="宋体" w:hAnsi="宋体" w:hint="eastAsia"/>
          <w:b/>
          <w:bCs/>
          <w:color w:val="FF0000"/>
          <w:sz w:val="40"/>
          <w:szCs w:val="40"/>
        </w:rPr>
        <w:t>股份有限公司</w:t>
      </w:r>
    </w:p>
    <w:p w14:paraId="5FEC810B" w14:textId="77777777" w:rsidR="00A753DA" w:rsidRPr="0018174C" w:rsidRDefault="00E1093A" w:rsidP="00E1093A">
      <w:pPr>
        <w:snapToGrid w:val="0"/>
        <w:spacing w:line="560" w:lineRule="exact"/>
        <w:jc w:val="center"/>
        <w:rPr>
          <w:rFonts w:ascii="宋体" w:hAnsi="宋体" w:cs="黑体-WinCharSetFFFF-H"/>
          <w:b/>
          <w:bCs/>
          <w:color w:val="FF0000"/>
          <w:kern w:val="0"/>
          <w:sz w:val="40"/>
          <w:szCs w:val="40"/>
        </w:rPr>
      </w:pPr>
      <w:r w:rsidRPr="0018174C">
        <w:rPr>
          <w:rFonts w:ascii="宋体" w:hAnsi="宋体" w:cs="黑体-WinCharSetFFFF-H" w:hint="eastAsia"/>
          <w:b/>
          <w:bCs/>
          <w:color w:val="FF0000"/>
          <w:kern w:val="0"/>
          <w:sz w:val="40"/>
          <w:szCs w:val="40"/>
        </w:rPr>
        <w:t>关于公司募集资金存放与实际使用情况的</w:t>
      </w:r>
    </w:p>
    <w:p w14:paraId="3156B508" w14:textId="3B5FA93E" w:rsidR="00E1093A" w:rsidRPr="0018174C" w:rsidRDefault="00E1093A" w:rsidP="00E1093A">
      <w:pPr>
        <w:snapToGrid w:val="0"/>
        <w:spacing w:line="560" w:lineRule="exact"/>
        <w:jc w:val="center"/>
        <w:rPr>
          <w:rFonts w:ascii="宋体" w:hAnsi="宋体" w:cs="黑体-WinCharSetFFFF-H"/>
          <w:b/>
          <w:bCs/>
          <w:color w:val="FF0000"/>
          <w:kern w:val="0"/>
          <w:sz w:val="40"/>
          <w:szCs w:val="40"/>
        </w:rPr>
      </w:pPr>
      <w:r w:rsidRPr="0018174C">
        <w:rPr>
          <w:rFonts w:ascii="宋体" w:hAnsi="宋体" w:cs="黑体-WinCharSetFFFF-H" w:hint="eastAsia"/>
          <w:b/>
          <w:bCs/>
          <w:color w:val="FF0000"/>
          <w:kern w:val="0"/>
          <w:sz w:val="40"/>
          <w:szCs w:val="40"/>
        </w:rPr>
        <w:t>专项报告</w:t>
      </w:r>
    </w:p>
    <w:p w14:paraId="3B2466B9" w14:textId="7074CC7D" w:rsidR="0018174C" w:rsidRDefault="00000000" w:rsidP="00BC23BA">
      <w:pPr>
        <w:autoSpaceDE w:val="0"/>
        <w:autoSpaceDN w:val="0"/>
        <w:adjustRightInd w:val="0"/>
        <w:spacing w:beforeLines="50" w:before="156" w:afterLines="50" w:after="156" w:line="360" w:lineRule="auto"/>
        <w:ind w:firstLineChars="200" w:firstLine="420"/>
        <w:rPr>
          <w:rFonts w:ascii="宋体" w:hAnsi="宋体"/>
          <w:b/>
          <w:bCs/>
          <w:color w:val="000000"/>
          <w:sz w:val="24"/>
          <w:szCs w:val="24"/>
        </w:rPr>
      </w:pPr>
      <w:r>
        <w:rPr>
          <w:noProof/>
        </w:rPr>
        <w:pict w14:anchorId="6EC4FB2B">
          <v:shapetype id="_x0000_t202" coordsize="21600,21600" o:spt="202" path="m,l,21600r21600,l21600,xe">
            <v:stroke joinstyle="miter"/>
            <v:path gradientshapeok="t" o:connecttype="rect"/>
          </v:shapetype>
          <v:shape id="Text Box 2" o:spid="_x0000_s2050" type="#_x0000_t202" style="position:absolute;left:0;text-align:left;margin-left:.15pt;margin-top:11.5pt;width:415pt;height:48.6pt;z-index:251659264;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" filled="f" strokeweight=".48pt">
            <v:textbox inset="0,0,0,0">
              <w:txbxContent>
                <w:p w14:paraId="75831C31" w14:textId="77777777" w:rsidR="0018174C" w:rsidRDefault="0018174C" w:rsidP="00D3010E">
                  <w:pPr>
                    <w:spacing w:line="360" w:lineRule="auto"/>
                    <w:ind w:firstLineChars="200" w:firstLine="480"/>
                    <w:rPr>
                      <w:rFonts w:ascii="宋体" w:hAnsi="宋体"/>
                      <w:sz w:val="24"/>
                    </w:rPr>
                  </w:pPr>
                  <w:r>
                    <w:rPr>
                      <w:rFonts w:ascii="宋体" w:hAnsi="宋体" w:hint="eastAsia"/>
                      <w:sz w:val="24"/>
                    </w:rPr>
                    <w:t>本公司董事会及全体董事保证本公告内容不存在任何虚假记载、误导性陈述或者重大遗漏，并对其内容的真实性、准确性和完整性依法承担法律责任。</w:t>
                  </w:r>
                </w:p>
              </w:txbxContent>
            </v:textbox>
          </v:shape>
        </w:pict>
      </w:r>
    </w:p>
    <w:p w14:paraId="6030C6A3" w14:textId="1B24DE67" w:rsidR="00363362" w:rsidRDefault="00363362" w:rsidP="00BC23B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p>
    <w:p w14:paraId="2E4C1701" w14:textId="1EC0A96F" w:rsidR="00E1093A" w:rsidRPr="00BC23BA" w:rsidRDefault="00E1093A" w:rsidP="00BC23B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sidRPr="00BC23BA">
        <w:rPr>
          <w:rFonts w:ascii="宋体" w:hAnsi="宋体" w:hint="eastAsia"/>
          <w:b/>
          <w:bCs/>
          <w:color w:val="000000"/>
          <w:sz w:val="24"/>
          <w:szCs w:val="24"/>
        </w:rPr>
        <w:t>一、募集资金基本情况</w:t>
      </w:r>
    </w:p>
    <w:p w14:paraId="6836A26F" w14:textId="77777777" w:rsidR="00400D1A" w:rsidRDefault="00400D1A" w:rsidP="00654B6F">
      <w:pPr>
        <w:autoSpaceDE w:val="0"/>
        <w:autoSpaceDN w:val="0"/>
        <w:adjustRightInd w:val="0"/>
        <w:snapToGrid w:val="0"/>
        <w:spacing w:line="360" w:lineRule="auto"/>
        <w:ind w:firstLineChars="200" w:firstLine="480"/>
        <w:rPr>
          <w:rFonts w:ascii="宋体" w:hAnsi="宋体"/>
          <w:color w:val="000000"/>
          <w:kern w:val="0"/>
          <w:sz w:val="24"/>
          <w:szCs w:val="24"/>
        </w:rPr>
      </w:pPr>
      <w:r w:rsidRPr="00400D1A">
        <w:rPr>
          <w:rFonts w:ascii="宋体" w:hAnsi="宋体" w:hint="eastAsia"/>
          <w:color w:val="000000"/>
          <w:kern w:val="0"/>
          <w:sz w:val="24"/>
          <w:szCs w:val="24"/>
        </w:rPr>
        <w:t>根据中国证券监督管理委员会《关于同意赛恩斯环保股份有限公司首次公开发行股票注册的批复》（证监许可〔2022〕2166号），本公司由主承销商</w:t>
      </w:r>
      <w:proofErr w:type="gramStart"/>
      <w:r w:rsidRPr="00400D1A">
        <w:rPr>
          <w:rFonts w:ascii="宋体" w:hAnsi="宋体" w:hint="eastAsia"/>
          <w:color w:val="000000"/>
          <w:kern w:val="0"/>
          <w:sz w:val="24"/>
          <w:szCs w:val="24"/>
        </w:rPr>
        <w:t>申万宏源证券</w:t>
      </w:r>
      <w:proofErr w:type="gramEnd"/>
      <w:r w:rsidRPr="00400D1A">
        <w:rPr>
          <w:rFonts w:ascii="宋体" w:hAnsi="宋体" w:hint="eastAsia"/>
          <w:color w:val="000000"/>
          <w:kern w:val="0"/>
          <w:sz w:val="24"/>
          <w:szCs w:val="24"/>
        </w:rPr>
        <w:t>承销保荐有限责任公司采用余额包销方式，向社会公众公开发行人民币普通股（A股）股票2,370.6667万股，发行价为每股人民币19.18元，共计募集资金45,469.39万元，</w:t>
      </w:r>
      <w:proofErr w:type="gramStart"/>
      <w:r w:rsidRPr="00400D1A">
        <w:rPr>
          <w:rFonts w:ascii="宋体" w:hAnsi="宋体" w:hint="eastAsia"/>
          <w:color w:val="000000"/>
          <w:kern w:val="0"/>
          <w:sz w:val="24"/>
          <w:szCs w:val="24"/>
        </w:rPr>
        <w:t>坐扣承销</w:t>
      </w:r>
      <w:proofErr w:type="gramEnd"/>
      <w:r w:rsidRPr="00400D1A">
        <w:rPr>
          <w:rFonts w:ascii="宋体" w:hAnsi="宋体" w:hint="eastAsia"/>
          <w:color w:val="000000"/>
          <w:kern w:val="0"/>
          <w:sz w:val="24"/>
          <w:szCs w:val="24"/>
        </w:rPr>
        <w:t>和保荐费用3,128.04万元后的募集资金为42,341.35万元，已由主承销商</w:t>
      </w:r>
      <w:proofErr w:type="gramStart"/>
      <w:r w:rsidRPr="00400D1A">
        <w:rPr>
          <w:rFonts w:ascii="宋体" w:hAnsi="宋体" w:hint="eastAsia"/>
          <w:color w:val="000000"/>
          <w:kern w:val="0"/>
          <w:sz w:val="24"/>
          <w:szCs w:val="24"/>
        </w:rPr>
        <w:t>申万宏源证券</w:t>
      </w:r>
      <w:proofErr w:type="gramEnd"/>
      <w:r w:rsidRPr="00400D1A">
        <w:rPr>
          <w:rFonts w:ascii="宋体" w:hAnsi="宋体" w:hint="eastAsia"/>
          <w:color w:val="000000"/>
          <w:kern w:val="0"/>
          <w:sz w:val="24"/>
          <w:szCs w:val="24"/>
        </w:rPr>
        <w:t>承销保荐有限责任公司于2022年11月22日汇入本公司募集资金监管账户。另减除上网发行费、招股说明书印刷费、申报会计师费、律师费、评估费等与发行权益</w:t>
      </w:r>
      <w:proofErr w:type="gramStart"/>
      <w:r w:rsidRPr="00400D1A">
        <w:rPr>
          <w:rFonts w:ascii="宋体" w:hAnsi="宋体" w:hint="eastAsia"/>
          <w:color w:val="000000"/>
          <w:kern w:val="0"/>
          <w:sz w:val="24"/>
          <w:szCs w:val="24"/>
        </w:rPr>
        <w:t>性证券</w:t>
      </w:r>
      <w:proofErr w:type="gramEnd"/>
      <w:r w:rsidRPr="00400D1A">
        <w:rPr>
          <w:rFonts w:ascii="宋体" w:hAnsi="宋体" w:hint="eastAsia"/>
          <w:color w:val="000000"/>
          <w:kern w:val="0"/>
          <w:sz w:val="24"/>
          <w:szCs w:val="24"/>
        </w:rPr>
        <w:t>直接相关的新增外部费用2,416.87万元后，公司本次募集资金净额为39,924.48万元。上述募集资金到位情况业经天健会计师事务所（特殊普通合伙）验证，并由其出具《验资报告》（</w:t>
      </w:r>
      <w:proofErr w:type="gramStart"/>
      <w:r w:rsidRPr="00400D1A">
        <w:rPr>
          <w:rFonts w:ascii="宋体" w:hAnsi="宋体" w:hint="eastAsia"/>
          <w:color w:val="000000"/>
          <w:kern w:val="0"/>
          <w:sz w:val="24"/>
          <w:szCs w:val="24"/>
        </w:rPr>
        <w:t>天健验〔2022〕</w:t>
      </w:r>
      <w:proofErr w:type="gramEnd"/>
      <w:r w:rsidRPr="00400D1A">
        <w:rPr>
          <w:rFonts w:ascii="宋体" w:hAnsi="宋体" w:hint="eastAsia"/>
          <w:color w:val="000000"/>
          <w:kern w:val="0"/>
          <w:sz w:val="24"/>
          <w:szCs w:val="24"/>
        </w:rPr>
        <w:t>1-132号）。</w:t>
      </w:r>
    </w:p>
    <w:p w14:paraId="43727914" w14:textId="1645DA43" w:rsidR="0021466C" w:rsidRDefault="0021466C" w:rsidP="00654B6F">
      <w:pPr>
        <w:autoSpaceDE w:val="0"/>
        <w:autoSpaceDN w:val="0"/>
        <w:adjustRightInd w:val="0"/>
        <w:snapToGrid w:val="0"/>
        <w:spacing w:line="360" w:lineRule="auto"/>
        <w:ind w:firstLineChars="200" w:firstLine="480"/>
        <w:rPr>
          <w:rFonts w:ascii="宋体" w:hAnsi="宋体" w:cs="Arial"/>
          <w:sz w:val="24"/>
          <w:szCs w:val="24"/>
          <w:shd w:val="clear" w:color="auto" w:fill="FFFFFF"/>
        </w:rPr>
      </w:pPr>
      <w:r w:rsidRPr="0021466C">
        <w:rPr>
          <w:rFonts w:ascii="宋体" w:hAnsi="宋体" w:cs="Arial" w:hint="eastAsia"/>
          <w:sz w:val="24"/>
          <w:szCs w:val="24"/>
          <w:shd w:val="clear" w:color="auto" w:fill="FFFFFF"/>
        </w:rPr>
        <w:t>截至2022年12月31日，</w:t>
      </w:r>
      <w:r w:rsidR="0019436E">
        <w:rPr>
          <w:rFonts w:ascii="宋体" w:hAnsi="宋体" w:cs="Arial" w:hint="eastAsia"/>
          <w:sz w:val="24"/>
          <w:szCs w:val="24"/>
          <w:shd w:val="clear" w:color="auto" w:fill="FFFFFF"/>
        </w:rPr>
        <w:t>募集资金使用和结余情况如下：</w:t>
      </w:r>
    </w:p>
    <w:p w14:paraId="7FB52FAC" w14:textId="386BD981" w:rsidR="0021466C" w:rsidRDefault="0021466C" w:rsidP="0021466C">
      <w:pPr>
        <w:autoSpaceDE w:val="0"/>
        <w:autoSpaceDN w:val="0"/>
        <w:adjustRightInd w:val="0"/>
        <w:snapToGrid w:val="0"/>
        <w:spacing w:line="560" w:lineRule="exact"/>
        <w:ind w:firstLineChars="200" w:firstLine="480"/>
        <w:jc w:val="right"/>
        <w:rPr>
          <w:rFonts w:ascii="宋体" w:hAnsi="宋体" w:cs="Arial"/>
          <w:sz w:val="24"/>
          <w:szCs w:val="24"/>
          <w:shd w:val="clear" w:color="auto" w:fill="FFFFFF"/>
        </w:rPr>
      </w:pPr>
      <w:r>
        <w:rPr>
          <w:rFonts w:ascii="宋体" w:hAnsi="宋体" w:cs="Arial" w:hint="eastAsia"/>
          <w:sz w:val="24"/>
          <w:szCs w:val="24"/>
          <w:shd w:val="clear" w:color="auto" w:fill="FFFFFF"/>
        </w:rPr>
        <w:t>单位：万元</w:t>
      </w:r>
    </w:p>
    <w:tbl>
      <w:tblPr>
        <w:tblStyle w:val="a7"/>
        <w:tblW w:w="4824" w:type="pct"/>
        <w:jc w:val="center"/>
        <w:tblLook w:val="04A0" w:firstRow="1" w:lastRow="0" w:firstColumn="1" w:lastColumn="0" w:noHBand="0" w:noVBand="1"/>
      </w:tblPr>
      <w:tblGrid>
        <w:gridCol w:w="2140"/>
        <w:gridCol w:w="2425"/>
        <w:gridCol w:w="1427"/>
        <w:gridCol w:w="2230"/>
      </w:tblGrid>
      <w:tr w:rsidR="00400D1A" w:rsidRPr="00400D1A" w14:paraId="4D5A58C8" w14:textId="77777777" w:rsidTr="00400D1A">
        <w:trPr>
          <w:trHeight w:val="454"/>
          <w:tblHeader/>
          <w:jc w:val="center"/>
        </w:trPr>
        <w:tc>
          <w:tcPr>
            <w:tcW w:w="2775" w:type="pct"/>
            <w:gridSpan w:val="2"/>
            <w:shd w:val="clear" w:color="auto" w:fill="auto"/>
            <w:vAlign w:val="center"/>
          </w:tcPr>
          <w:p w14:paraId="356AB071" w14:textId="77777777" w:rsidR="00400D1A" w:rsidRPr="00400D1A" w:rsidRDefault="00400D1A" w:rsidP="00001B76">
            <w:pPr>
              <w:adjustRightInd w:val="0"/>
              <w:ind w:firstLineChars="100" w:firstLine="240"/>
              <w:jc w:val="left"/>
              <w:rPr>
                <w:rFonts w:ascii="宋体" w:hAnsi="宋体" w:cs="宋体"/>
                <w:kern w:val="0"/>
                <w:sz w:val="24"/>
                <w:szCs w:val="24"/>
              </w:rPr>
            </w:pPr>
            <w:r w:rsidRPr="00400D1A">
              <w:rPr>
                <w:rFonts w:ascii="宋体" w:hAnsi="宋体" w:cs="宋体" w:hint="eastAsia"/>
                <w:kern w:val="0"/>
                <w:sz w:val="24"/>
                <w:szCs w:val="24"/>
              </w:rPr>
              <w:t>项</w:t>
            </w:r>
            <w:r w:rsidRPr="00400D1A">
              <w:rPr>
                <w:rFonts w:ascii="宋体" w:hAnsi="宋体" w:cs="宋体"/>
                <w:kern w:val="0"/>
                <w:sz w:val="24"/>
                <w:szCs w:val="24"/>
              </w:rPr>
              <w:t xml:space="preserve">  目</w:t>
            </w:r>
          </w:p>
        </w:tc>
        <w:tc>
          <w:tcPr>
            <w:tcW w:w="868" w:type="pct"/>
            <w:shd w:val="clear" w:color="auto" w:fill="auto"/>
            <w:vAlign w:val="center"/>
          </w:tcPr>
          <w:p w14:paraId="58FF9CDE"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序号</w:t>
            </w:r>
          </w:p>
        </w:tc>
        <w:tc>
          <w:tcPr>
            <w:tcW w:w="1357" w:type="pct"/>
            <w:shd w:val="clear" w:color="auto" w:fill="auto"/>
            <w:vAlign w:val="center"/>
          </w:tcPr>
          <w:p w14:paraId="6131C4DE"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金  额</w:t>
            </w:r>
          </w:p>
        </w:tc>
      </w:tr>
      <w:tr w:rsidR="00400D1A" w:rsidRPr="00400D1A" w14:paraId="11289CBF" w14:textId="77777777" w:rsidTr="00400D1A">
        <w:trPr>
          <w:trHeight w:val="454"/>
          <w:jc w:val="center"/>
        </w:trPr>
        <w:tc>
          <w:tcPr>
            <w:tcW w:w="2775" w:type="pct"/>
            <w:gridSpan w:val="2"/>
            <w:shd w:val="clear" w:color="auto" w:fill="auto"/>
            <w:vAlign w:val="center"/>
          </w:tcPr>
          <w:p w14:paraId="1E0CCC39"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募集资金净额</w:t>
            </w:r>
          </w:p>
        </w:tc>
        <w:tc>
          <w:tcPr>
            <w:tcW w:w="868" w:type="pct"/>
            <w:shd w:val="clear" w:color="auto" w:fill="auto"/>
            <w:vAlign w:val="center"/>
          </w:tcPr>
          <w:p w14:paraId="6C0358D5"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A</w:t>
            </w:r>
          </w:p>
        </w:tc>
        <w:tc>
          <w:tcPr>
            <w:tcW w:w="1357" w:type="pct"/>
            <w:shd w:val="clear" w:color="auto" w:fill="auto"/>
            <w:vAlign w:val="center"/>
          </w:tcPr>
          <w:p w14:paraId="5773D113" w14:textId="77777777" w:rsidR="00400D1A" w:rsidRPr="00400D1A" w:rsidRDefault="00400D1A" w:rsidP="00001B76">
            <w:pPr>
              <w:widowControl/>
              <w:jc w:val="right"/>
              <w:textAlignment w:val="center"/>
              <w:rPr>
                <w:rFonts w:ascii="宋体" w:hAnsi="宋体" w:cs="宋体"/>
                <w:kern w:val="0"/>
                <w:sz w:val="24"/>
                <w:szCs w:val="24"/>
              </w:rPr>
            </w:pPr>
            <w:r w:rsidRPr="00400D1A">
              <w:rPr>
                <w:rFonts w:ascii="宋体" w:hAnsi="宋体" w:cs="宋体" w:hint="eastAsia"/>
                <w:color w:val="000000"/>
                <w:kern w:val="0"/>
                <w:sz w:val="24"/>
                <w:szCs w:val="24"/>
                <w:lang w:bidi="ar"/>
              </w:rPr>
              <w:t xml:space="preserve">39,924.48 </w:t>
            </w:r>
          </w:p>
        </w:tc>
      </w:tr>
      <w:tr w:rsidR="00400D1A" w:rsidRPr="00400D1A" w14:paraId="1670EBB9" w14:textId="77777777" w:rsidTr="00400D1A">
        <w:trPr>
          <w:trHeight w:val="454"/>
          <w:jc w:val="center"/>
        </w:trPr>
        <w:tc>
          <w:tcPr>
            <w:tcW w:w="1301" w:type="pct"/>
            <w:vMerge w:val="restart"/>
            <w:shd w:val="clear" w:color="auto" w:fill="auto"/>
            <w:vAlign w:val="center"/>
          </w:tcPr>
          <w:p w14:paraId="5E1212DE"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截至期初累计发生额</w:t>
            </w:r>
          </w:p>
        </w:tc>
        <w:tc>
          <w:tcPr>
            <w:tcW w:w="1475" w:type="pct"/>
            <w:shd w:val="clear" w:color="auto" w:fill="auto"/>
            <w:vAlign w:val="center"/>
          </w:tcPr>
          <w:p w14:paraId="766AB36D"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项目投入</w:t>
            </w:r>
          </w:p>
        </w:tc>
        <w:tc>
          <w:tcPr>
            <w:tcW w:w="868" w:type="pct"/>
            <w:shd w:val="clear" w:color="auto" w:fill="auto"/>
            <w:vAlign w:val="center"/>
          </w:tcPr>
          <w:p w14:paraId="76724233"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B1</w:t>
            </w:r>
          </w:p>
        </w:tc>
        <w:tc>
          <w:tcPr>
            <w:tcW w:w="1357" w:type="pct"/>
            <w:shd w:val="clear" w:color="auto" w:fill="auto"/>
            <w:vAlign w:val="center"/>
          </w:tcPr>
          <w:p w14:paraId="1862840F" w14:textId="77777777" w:rsidR="00400D1A" w:rsidRPr="00400D1A" w:rsidRDefault="00400D1A" w:rsidP="00001B76">
            <w:pPr>
              <w:jc w:val="right"/>
              <w:rPr>
                <w:rFonts w:ascii="宋体" w:hAnsi="宋体" w:cs="宋体"/>
                <w:kern w:val="0"/>
                <w:sz w:val="24"/>
                <w:szCs w:val="24"/>
              </w:rPr>
            </w:pPr>
          </w:p>
        </w:tc>
      </w:tr>
      <w:tr w:rsidR="00400D1A" w:rsidRPr="00400D1A" w14:paraId="491E846D" w14:textId="77777777" w:rsidTr="00400D1A">
        <w:trPr>
          <w:trHeight w:val="454"/>
          <w:jc w:val="center"/>
        </w:trPr>
        <w:tc>
          <w:tcPr>
            <w:tcW w:w="1301" w:type="pct"/>
            <w:vMerge/>
            <w:shd w:val="clear" w:color="auto" w:fill="auto"/>
            <w:vAlign w:val="center"/>
          </w:tcPr>
          <w:p w14:paraId="050FDB7F" w14:textId="77777777" w:rsidR="00400D1A" w:rsidRPr="00400D1A" w:rsidRDefault="00400D1A" w:rsidP="00001B76">
            <w:pPr>
              <w:adjustRightInd w:val="0"/>
              <w:jc w:val="left"/>
              <w:rPr>
                <w:rFonts w:ascii="宋体" w:hAnsi="宋体" w:cs="宋体"/>
                <w:kern w:val="0"/>
                <w:sz w:val="24"/>
                <w:szCs w:val="24"/>
              </w:rPr>
            </w:pPr>
          </w:p>
        </w:tc>
        <w:tc>
          <w:tcPr>
            <w:tcW w:w="1475" w:type="pct"/>
            <w:shd w:val="clear" w:color="auto" w:fill="auto"/>
            <w:vAlign w:val="center"/>
          </w:tcPr>
          <w:p w14:paraId="4C644EF5"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利息收入净额</w:t>
            </w:r>
          </w:p>
        </w:tc>
        <w:tc>
          <w:tcPr>
            <w:tcW w:w="868" w:type="pct"/>
            <w:shd w:val="clear" w:color="auto" w:fill="auto"/>
            <w:vAlign w:val="center"/>
          </w:tcPr>
          <w:p w14:paraId="3F35F335"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B2</w:t>
            </w:r>
          </w:p>
        </w:tc>
        <w:tc>
          <w:tcPr>
            <w:tcW w:w="1357" w:type="pct"/>
            <w:shd w:val="clear" w:color="auto" w:fill="auto"/>
            <w:vAlign w:val="center"/>
          </w:tcPr>
          <w:p w14:paraId="13C008CE" w14:textId="77777777" w:rsidR="00400D1A" w:rsidRPr="00400D1A" w:rsidRDefault="00400D1A" w:rsidP="00001B76">
            <w:pPr>
              <w:jc w:val="right"/>
              <w:rPr>
                <w:rFonts w:ascii="宋体" w:hAnsi="宋体" w:cs="宋体"/>
                <w:kern w:val="0"/>
                <w:sz w:val="24"/>
                <w:szCs w:val="24"/>
              </w:rPr>
            </w:pPr>
          </w:p>
        </w:tc>
      </w:tr>
      <w:tr w:rsidR="00400D1A" w:rsidRPr="00400D1A" w14:paraId="10B33971" w14:textId="77777777" w:rsidTr="00400D1A">
        <w:trPr>
          <w:trHeight w:val="454"/>
          <w:jc w:val="center"/>
        </w:trPr>
        <w:tc>
          <w:tcPr>
            <w:tcW w:w="1301" w:type="pct"/>
            <w:vMerge w:val="restart"/>
            <w:shd w:val="clear" w:color="auto" w:fill="auto"/>
            <w:vAlign w:val="center"/>
          </w:tcPr>
          <w:p w14:paraId="32CB2F47"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本期发生额</w:t>
            </w:r>
          </w:p>
        </w:tc>
        <w:tc>
          <w:tcPr>
            <w:tcW w:w="1475" w:type="pct"/>
            <w:shd w:val="clear" w:color="auto" w:fill="auto"/>
            <w:vAlign w:val="center"/>
          </w:tcPr>
          <w:p w14:paraId="37E17CED"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项目投入</w:t>
            </w:r>
          </w:p>
        </w:tc>
        <w:tc>
          <w:tcPr>
            <w:tcW w:w="868" w:type="pct"/>
            <w:shd w:val="clear" w:color="auto" w:fill="auto"/>
            <w:vAlign w:val="center"/>
          </w:tcPr>
          <w:p w14:paraId="60826A89"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C1</w:t>
            </w:r>
          </w:p>
        </w:tc>
        <w:tc>
          <w:tcPr>
            <w:tcW w:w="1357" w:type="pct"/>
            <w:shd w:val="clear" w:color="auto" w:fill="auto"/>
            <w:vAlign w:val="center"/>
          </w:tcPr>
          <w:p w14:paraId="063DECD4" w14:textId="77777777" w:rsidR="00400D1A" w:rsidRPr="00400D1A" w:rsidRDefault="00400D1A" w:rsidP="00001B76">
            <w:pPr>
              <w:jc w:val="right"/>
              <w:rPr>
                <w:rFonts w:ascii="宋体" w:hAnsi="宋体" w:cs="宋体"/>
                <w:kern w:val="0"/>
                <w:sz w:val="24"/>
                <w:szCs w:val="24"/>
              </w:rPr>
            </w:pPr>
            <w:r w:rsidRPr="00400D1A">
              <w:rPr>
                <w:rFonts w:ascii="宋体" w:hAnsi="宋体" w:cs="宋体" w:hint="eastAsia"/>
                <w:kern w:val="0"/>
                <w:sz w:val="24"/>
                <w:szCs w:val="24"/>
              </w:rPr>
              <w:t>99.98</w:t>
            </w:r>
          </w:p>
        </w:tc>
      </w:tr>
      <w:tr w:rsidR="00400D1A" w:rsidRPr="00400D1A" w14:paraId="43D1557A" w14:textId="77777777" w:rsidTr="00400D1A">
        <w:trPr>
          <w:trHeight w:val="454"/>
          <w:jc w:val="center"/>
        </w:trPr>
        <w:tc>
          <w:tcPr>
            <w:tcW w:w="1301" w:type="pct"/>
            <w:vMerge/>
            <w:shd w:val="clear" w:color="auto" w:fill="auto"/>
            <w:vAlign w:val="center"/>
          </w:tcPr>
          <w:p w14:paraId="46AF4EE9" w14:textId="77777777" w:rsidR="00400D1A" w:rsidRPr="00400D1A" w:rsidRDefault="00400D1A" w:rsidP="00001B76">
            <w:pPr>
              <w:adjustRightInd w:val="0"/>
              <w:jc w:val="left"/>
              <w:rPr>
                <w:rFonts w:ascii="宋体" w:hAnsi="宋体" w:cs="宋体"/>
                <w:kern w:val="0"/>
                <w:sz w:val="24"/>
                <w:szCs w:val="24"/>
              </w:rPr>
            </w:pPr>
          </w:p>
        </w:tc>
        <w:tc>
          <w:tcPr>
            <w:tcW w:w="1475" w:type="pct"/>
            <w:shd w:val="clear" w:color="auto" w:fill="auto"/>
            <w:vAlign w:val="center"/>
          </w:tcPr>
          <w:p w14:paraId="4E731696"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利息收入净额</w:t>
            </w:r>
          </w:p>
        </w:tc>
        <w:tc>
          <w:tcPr>
            <w:tcW w:w="868" w:type="pct"/>
            <w:shd w:val="clear" w:color="auto" w:fill="auto"/>
            <w:vAlign w:val="center"/>
          </w:tcPr>
          <w:p w14:paraId="30365F72"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C2</w:t>
            </w:r>
          </w:p>
        </w:tc>
        <w:tc>
          <w:tcPr>
            <w:tcW w:w="1357" w:type="pct"/>
            <w:shd w:val="clear" w:color="auto" w:fill="auto"/>
            <w:vAlign w:val="center"/>
          </w:tcPr>
          <w:p w14:paraId="30F861EC" w14:textId="77777777" w:rsidR="00400D1A" w:rsidRPr="00400D1A" w:rsidRDefault="00400D1A" w:rsidP="00001B76">
            <w:pPr>
              <w:widowControl/>
              <w:jc w:val="right"/>
              <w:textAlignment w:val="center"/>
              <w:rPr>
                <w:rFonts w:ascii="宋体" w:hAnsi="宋体" w:cs="宋体"/>
                <w:kern w:val="0"/>
                <w:sz w:val="24"/>
                <w:szCs w:val="24"/>
              </w:rPr>
            </w:pPr>
            <w:r w:rsidRPr="00400D1A">
              <w:rPr>
                <w:rFonts w:ascii="宋体" w:hAnsi="宋体" w:cs="宋体" w:hint="eastAsia"/>
                <w:color w:val="000000"/>
                <w:kern w:val="0"/>
                <w:sz w:val="24"/>
                <w:szCs w:val="24"/>
                <w:lang w:bidi="ar"/>
              </w:rPr>
              <w:t xml:space="preserve">61.60 </w:t>
            </w:r>
          </w:p>
        </w:tc>
      </w:tr>
      <w:tr w:rsidR="00400D1A" w:rsidRPr="00400D1A" w14:paraId="29045EEC" w14:textId="77777777" w:rsidTr="00400D1A">
        <w:trPr>
          <w:trHeight w:val="454"/>
          <w:jc w:val="center"/>
        </w:trPr>
        <w:tc>
          <w:tcPr>
            <w:tcW w:w="1301" w:type="pct"/>
            <w:vMerge w:val="restart"/>
            <w:shd w:val="clear" w:color="auto" w:fill="auto"/>
            <w:vAlign w:val="center"/>
          </w:tcPr>
          <w:p w14:paraId="50C912BE"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lastRenderedPageBreak/>
              <w:t>截至期末累计发生额</w:t>
            </w:r>
          </w:p>
        </w:tc>
        <w:tc>
          <w:tcPr>
            <w:tcW w:w="1475" w:type="pct"/>
            <w:shd w:val="clear" w:color="auto" w:fill="auto"/>
            <w:vAlign w:val="center"/>
          </w:tcPr>
          <w:p w14:paraId="4CE0F2AB"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项目投入</w:t>
            </w:r>
          </w:p>
        </w:tc>
        <w:tc>
          <w:tcPr>
            <w:tcW w:w="868" w:type="pct"/>
            <w:shd w:val="clear" w:color="auto" w:fill="auto"/>
            <w:vAlign w:val="center"/>
          </w:tcPr>
          <w:p w14:paraId="6CCA5652"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D1=B1+C1</w:t>
            </w:r>
          </w:p>
        </w:tc>
        <w:tc>
          <w:tcPr>
            <w:tcW w:w="1357" w:type="pct"/>
            <w:shd w:val="clear" w:color="auto" w:fill="auto"/>
            <w:vAlign w:val="center"/>
          </w:tcPr>
          <w:p w14:paraId="295E7D94" w14:textId="77777777" w:rsidR="00400D1A" w:rsidRPr="00400D1A" w:rsidRDefault="00400D1A" w:rsidP="00001B76">
            <w:pPr>
              <w:jc w:val="right"/>
              <w:rPr>
                <w:rFonts w:ascii="宋体" w:hAnsi="宋体" w:cs="宋体"/>
                <w:kern w:val="0"/>
                <w:sz w:val="24"/>
                <w:szCs w:val="24"/>
              </w:rPr>
            </w:pPr>
            <w:r w:rsidRPr="00400D1A">
              <w:rPr>
                <w:rFonts w:ascii="宋体" w:hAnsi="宋体" w:cs="宋体" w:hint="eastAsia"/>
                <w:kern w:val="0"/>
                <w:sz w:val="24"/>
                <w:szCs w:val="24"/>
              </w:rPr>
              <w:t>99.98</w:t>
            </w:r>
          </w:p>
        </w:tc>
      </w:tr>
      <w:tr w:rsidR="00400D1A" w:rsidRPr="00400D1A" w14:paraId="3F3E5A95" w14:textId="77777777" w:rsidTr="00400D1A">
        <w:trPr>
          <w:trHeight w:val="454"/>
          <w:jc w:val="center"/>
        </w:trPr>
        <w:tc>
          <w:tcPr>
            <w:tcW w:w="1301" w:type="pct"/>
            <w:vMerge/>
            <w:shd w:val="clear" w:color="auto" w:fill="auto"/>
            <w:vAlign w:val="center"/>
          </w:tcPr>
          <w:p w14:paraId="27BA5A81" w14:textId="77777777" w:rsidR="00400D1A" w:rsidRPr="00400D1A" w:rsidRDefault="00400D1A" w:rsidP="00001B76">
            <w:pPr>
              <w:adjustRightInd w:val="0"/>
              <w:jc w:val="left"/>
              <w:rPr>
                <w:rFonts w:ascii="宋体" w:hAnsi="宋体" w:cs="宋体"/>
                <w:kern w:val="0"/>
                <w:sz w:val="24"/>
                <w:szCs w:val="24"/>
              </w:rPr>
            </w:pPr>
          </w:p>
        </w:tc>
        <w:tc>
          <w:tcPr>
            <w:tcW w:w="1475" w:type="pct"/>
            <w:shd w:val="clear" w:color="auto" w:fill="auto"/>
            <w:vAlign w:val="center"/>
          </w:tcPr>
          <w:p w14:paraId="332EC761"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利息收入净额</w:t>
            </w:r>
          </w:p>
        </w:tc>
        <w:tc>
          <w:tcPr>
            <w:tcW w:w="868" w:type="pct"/>
            <w:shd w:val="clear" w:color="auto" w:fill="auto"/>
            <w:vAlign w:val="center"/>
          </w:tcPr>
          <w:p w14:paraId="24A396C7"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D2=B2+C2</w:t>
            </w:r>
          </w:p>
        </w:tc>
        <w:tc>
          <w:tcPr>
            <w:tcW w:w="1357" w:type="pct"/>
            <w:shd w:val="clear" w:color="auto" w:fill="auto"/>
            <w:vAlign w:val="center"/>
          </w:tcPr>
          <w:p w14:paraId="32DC0F29" w14:textId="77777777" w:rsidR="00400D1A" w:rsidRPr="00400D1A" w:rsidRDefault="00400D1A" w:rsidP="00001B76">
            <w:pPr>
              <w:widowControl/>
              <w:jc w:val="right"/>
              <w:textAlignment w:val="center"/>
              <w:rPr>
                <w:rFonts w:ascii="宋体" w:hAnsi="宋体" w:cs="宋体"/>
                <w:kern w:val="0"/>
                <w:sz w:val="24"/>
                <w:szCs w:val="24"/>
              </w:rPr>
            </w:pPr>
            <w:r w:rsidRPr="00400D1A">
              <w:rPr>
                <w:rFonts w:ascii="宋体" w:hAnsi="宋体" w:cs="宋体" w:hint="eastAsia"/>
                <w:color w:val="000000"/>
                <w:kern w:val="0"/>
                <w:sz w:val="24"/>
                <w:szCs w:val="24"/>
                <w:lang w:bidi="ar"/>
              </w:rPr>
              <w:t xml:space="preserve">61.60 </w:t>
            </w:r>
          </w:p>
        </w:tc>
      </w:tr>
      <w:tr w:rsidR="00400D1A" w:rsidRPr="00400D1A" w14:paraId="176DD82A" w14:textId="77777777" w:rsidTr="00400D1A">
        <w:trPr>
          <w:trHeight w:val="454"/>
          <w:jc w:val="center"/>
        </w:trPr>
        <w:tc>
          <w:tcPr>
            <w:tcW w:w="2775" w:type="pct"/>
            <w:gridSpan w:val="2"/>
            <w:shd w:val="clear" w:color="auto" w:fill="auto"/>
            <w:vAlign w:val="center"/>
          </w:tcPr>
          <w:p w14:paraId="5625D2EE"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应结余募集资金</w:t>
            </w:r>
          </w:p>
        </w:tc>
        <w:tc>
          <w:tcPr>
            <w:tcW w:w="868" w:type="pct"/>
            <w:shd w:val="clear" w:color="auto" w:fill="auto"/>
            <w:vAlign w:val="center"/>
          </w:tcPr>
          <w:p w14:paraId="0419D546"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E=A-D1+D2</w:t>
            </w:r>
          </w:p>
        </w:tc>
        <w:tc>
          <w:tcPr>
            <w:tcW w:w="1357" w:type="pct"/>
            <w:shd w:val="clear" w:color="auto" w:fill="auto"/>
            <w:vAlign w:val="center"/>
          </w:tcPr>
          <w:p w14:paraId="6E17859D" w14:textId="77777777" w:rsidR="00400D1A" w:rsidRPr="00400D1A" w:rsidRDefault="00400D1A" w:rsidP="00001B76">
            <w:pPr>
              <w:widowControl/>
              <w:jc w:val="right"/>
              <w:textAlignment w:val="center"/>
              <w:rPr>
                <w:rFonts w:ascii="宋体" w:hAnsi="宋体" w:cs="宋体"/>
                <w:kern w:val="0"/>
                <w:sz w:val="24"/>
                <w:szCs w:val="24"/>
              </w:rPr>
            </w:pPr>
            <w:r w:rsidRPr="00400D1A">
              <w:rPr>
                <w:rFonts w:ascii="宋体" w:hAnsi="宋体" w:cs="宋体" w:hint="eastAsia"/>
                <w:color w:val="000000"/>
                <w:kern w:val="0"/>
                <w:sz w:val="24"/>
                <w:szCs w:val="24"/>
                <w:lang w:bidi="ar"/>
              </w:rPr>
              <w:t xml:space="preserve">39,886.09 </w:t>
            </w:r>
          </w:p>
        </w:tc>
      </w:tr>
      <w:tr w:rsidR="00400D1A" w:rsidRPr="00400D1A" w14:paraId="511FEC5A" w14:textId="77777777" w:rsidTr="00400D1A">
        <w:trPr>
          <w:trHeight w:val="454"/>
          <w:jc w:val="center"/>
        </w:trPr>
        <w:tc>
          <w:tcPr>
            <w:tcW w:w="2775" w:type="pct"/>
            <w:gridSpan w:val="2"/>
            <w:shd w:val="clear" w:color="auto" w:fill="auto"/>
            <w:vAlign w:val="center"/>
          </w:tcPr>
          <w:p w14:paraId="6C0A8E1C"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实际结余募集资金</w:t>
            </w:r>
          </w:p>
        </w:tc>
        <w:tc>
          <w:tcPr>
            <w:tcW w:w="868" w:type="pct"/>
            <w:shd w:val="clear" w:color="auto" w:fill="auto"/>
            <w:vAlign w:val="center"/>
          </w:tcPr>
          <w:p w14:paraId="6BFAB39E"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F</w:t>
            </w:r>
          </w:p>
        </w:tc>
        <w:tc>
          <w:tcPr>
            <w:tcW w:w="1357" w:type="pct"/>
            <w:shd w:val="clear" w:color="auto" w:fill="auto"/>
            <w:vAlign w:val="center"/>
          </w:tcPr>
          <w:p w14:paraId="0BC9A086" w14:textId="77777777" w:rsidR="00400D1A" w:rsidRPr="00400D1A" w:rsidRDefault="00400D1A" w:rsidP="00001B76">
            <w:pPr>
              <w:widowControl/>
              <w:jc w:val="right"/>
              <w:textAlignment w:val="center"/>
              <w:rPr>
                <w:rFonts w:ascii="宋体" w:hAnsi="宋体" w:cs="宋体"/>
                <w:kern w:val="0"/>
                <w:sz w:val="24"/>
                <w:szCs w:val="24"/>
              </w:rPr>
            </w:pPr>
            <w:r w:rsidRPr="00400D1A">
              <w:rPr>
                <w:rFonts w:ascii="宋体" w:hAnsi="宋体" w:cs="宋体" w:hint="eastAsia"/>
                <w:color w:val="000000"/>
                <w:kern w:val="0"/>
                <w:sz w:val="24"/>
                <w:szCs w:val="24"/>
                <w:lang w:bidi="ar"/>
              </w:rPr>
              <w:t xml:space="preserve">40,822.55 </w:t>
            </w:r>
          </w:p>
        </w:tc>
      </w:tr>
      <w:tr w:rsidR="00400D1A" w:rsidRPr="00400D1A" w14:paraId="7DF80C04" w14:textId="77777777" w:rsidTr="00400D1A">
        <w:trPr>
          <w:trHeight w:val="454"/>
          <w:jc w:val="center"/>
        </w:trPr>
        <w:tc>
          <w:tcPr>
            <w:tcW w:w="2775" w:type="pct"/>
            <w:gridSpan w:val="2"/>
            <w:shd w:val="clear" w:color="auto" w:fill="auto"/>
            <w:vAlign w:val="center"/>
          </w:tcPr>
          <w:p w14:paraId="50BB10F6" w14:textId="77777777" w:rsidR="00400D1A" w:rsidRPr="00400D1A" w:rsidRDefault="00400D1A" w:rsidP="00001B76">
            <w:pPr>
              <w:adjustRightInd w:val="0"/>
              <w:jc w:val="left"/>
              <w:rPr>
                <w:rFonts w:ascii="宋体" w:hAnsi="宋体" w:cs="宋体"/>
                <w:kern w:val="0"/>
                <w:sz w:val="24"/>
                <w:szCs w:val="24"/>
              </w:rPr>
            </w:pPr>
            <w:r w:rsidRPr="00400D1A">
              <w:rPr>
                <w:rFonts w:ascii="宋体" w:hAnsi="宋体" w:cs="宋体" w:hint="eastAsia"/>
                <w:kern w:val="0"/>
                <w:sz w:val="24"/>
                <w:szCs w:val="24"/>
              </w:rPr>
              <w:t>差异</w:t>
            </w:r>
          </w:p>
        </w:tc>
        <w:tc>
          <w:tcPr>
            <w:tcW w:w="868" w:type="pct"/>
            <w:shd w:val="clear" w:color="auto" w:fill="auto"/>
            <w:vAlign w:val="center"/>
          </w:tcPr>
          <w:p w14:paraId="33868629" w14:textId="77777777" w:rsidR="00400D1A" w:rsidRPr="00400D1A" w:rsidRDefault="00400D1A" w:rsidP="00001B76">
            <w:pPr>
              <w:adjustRightInd w:val="0"/>
              <w:jc w:val="center"/>
              <w:rPr>
                <w:rFonts w:ascii="宋体" w:hAnsi="宋体" w:cs="宋体"/>
                <w:kern w:val="0"/>
                <w:sz w:val="24"/>
                <w:szCs w:val="24"/>
              </w:rPr>
            </w:pPr>
            <w:r w:rsidRPr="00400D1A">
              <w:rPr>
                <w:rFonts w:ascii="宋体" w:hAnsi="宋体" w:cs="宋体" w:hint="eastAsia"/>
                <w:kern w:val="0"/>
                <w:sz w:val="24"/>
                <w:szCs w:val="24"/>
              </w:rPr>
              <w:t>G=E-F</w:t>
            </w:r>
          </w:p>
        </w:tc>
        <w:tc>
          <w:tcPr>
            <w:tcW w:w="1357" w:type="pct"/>
            <w:shd w:val="clear" w:color="auto" w:fill="auto"/>
            <w:vAlign w:val="center"/>
          </w:tcPr>
          <w:p w14:paraId="4AD58FBC" w14:textId="77777777" w:rsidR="00400D1A" w:rsidRPr="00400D1A" w:rsidRDefault="00400D1A" w:rsidP="00001B76">
            <w:pPr>
              <w:widowControl/>
              <w:jc w:val="right"/>
              <w:textAlignment w:val="center"/>
              <w:rPr>
                <w:rFonts w:ascii="宋体" w:hAnsi="宋体" w:cs="宋体"/>
                <w:kern w:val="0"/>
                <w:sz w:val="24"/>
                <w:szCs w:val="24"/>
              </w:rPr>
            </w:pPr>
            <w:r w:rsidRPr="00400D1A">
              <w:rPr>
                <w:rFonts w:ascii="宋体" w:hAnsi="宋体" w:cs="宋体" w:hint="eastAsia"/>
                <w:color w:val="000000"/>
                <w:kern w:val="0"/>
                <w:sz w:val="24"/>
                <w:szCs w:val="24"/>
                <w:lang w:bidi="ar"/>
              </w:rPr>
              <w:t xml:space="preserve">-936.46 </w:t>
            </w:r>
          </w:p>
        </w:tc>
      </w:tr>
    </w:tbl>
    <w:p w14:paraId="559E0BBE" w14:textId="03A1CC97" w:rsidR="00400D1A" w:rsidRPr="00400D1A" w:rsidRDefault="00400D1A" w:rsidP="00BC23BA">
      <w:pPr>
        <w:autoSpaceDE w:val="0"/>
        <w:autoSpaceDN w:val="0"/>
        <w:adjustRightInd w:val="0"/>
        <w:spacing w:beforeLines="50" w:before="156" w:afterLines="50" w:after="156" w:line="360" w:lineRule="auto"/>
        <w:ind w:firstLineChars="200" w:firstLine="420"/>
        <w:rPr>
          <w:rFonts w:ascii="宋体" w:hAnsi="宋体"/>
          <w:color w:val="000000"/>
          <w:szCs w:val="21"/>
        </w:rPr>
      </w:pPr>
      <w:r w:rsidRPr="00400D1A">
        <w:rPr>
          <w:rFonts w:ascii="宋体" w:hAnsi="宋体" w:hint="eastAsia"/>
          <w:color w:val="000000"/>
          <w:szCs w:val="21"/>
        </w:rPr>
        <w:t>注：差异系公司以募集资金置换预先投入募集资金投资项目的自筹资金人民币99.98万元尚未从募集资金账户转出以及发行费用836.47万元尚未进行支付导致，预先投入募集资金投资项目的自筹资金人民币99.98万元于2023年1月从募集资金账户转出。</w:t>
      </w:r>
    </w:p>
    <w:p w14:paraId="55651744" w14:textId="3DED59E2" w:rsidR="00E1093A" w:rsidRPr="00BC23BA" w:rsidRDefault="00BC23BA" w:rsidP="00BC23B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Pr>
          <w:rFonts w:ascii="宋体" w:hAnsi="宋体" w:hint="eastAsia"/>
          <w:b/>
          <w:bCs/>
          <w:color w:val="000000"/>
          <w:sz w:val="24"/>
          <w:szCs w:val="24"/>
        </w:rPr>
        <w:t>二</w:t>
      </w:r>
      <w:r w:rsidR="00E1093A" w:rsidRPr="00BC23BA">
        <w:rPr>
          <w:rFonts w:ascii="宋体" w:hAnsi="宋体" w:hint="eastAsia"/>
          <w:b/>
          <w:bCs/>
          <w:color w:val="000000"/>
          <w:sz w:val="24"/>
          <w:szCs w:val="24"/>
        </w:rPr>
        <w:t>、募集资金管理情况</w:t>
      </w:r>
    </w:p>
    <w:p w14:paraId="5FDE9D20" w14:textId="11CF850A" w:rsidR="006A12DF" w:rsidRPr="00A753DA" w:rsidRDefault="006A12DF" w:rsidP="0021466C">
      <w:pPr>
        <w:autoSpaceDE w:val="0"/>
        <w:autoSpaceDN w:val="0"/>
        <w:adjustRightInd w:val="0"/>
        <w:spacing w:line="560" w:lineRule="exact"/>
        <w:ind w:firstLineChars="200" w:firstLine="482"/>
        <w:jc w:val="left"/>
        <w:rPr>
          <w:rFonts w:ascii="宋体" w:hAnsi="宋体" w:cs="宋体-WinCharSetFFFF-H"/>
          <w:b/>
          <w:color w:val="000000"/>
          <w:kern w:val="0"/>
          <w:sz w:val="24"/>
          <w:szCs w:val="24"/>
        </w:rPr>
      </w:pPr>
      <w:r>
        <w:rPr>
          <w:rFonts w:ascii="宋体" w:hAnsi="宋体" w:cs="宋体-WinCharSetFFFF-H" w:hint="eastAsia"/>
          <w:b/>
          <w:color w:val="000000"/>
          <w:kern w:val="0"/>
          <w:sz w:val="24"/>
          <w:szCs w:val="24"/>
        </w:rPr>
        <w:t>1、募集资金的管理</w:t>
      </w:r>
    </w:p>
    <w:p w14:paraId="0B1B6AD9" w14:textId="77777777" w:rsidR="00400D1A" w:rsidRPr="00400D1A" w:rsidRDefault="00400D1A" w:rsidP="00306681">
      <w:pPr>
        <w:autoSpaceDE w:val="0"/>
        <w:autoSpaceDN w:val="0"/>
        <w:adjustRightInd w:val="0"/>
        <w:spacing w:line="360" w:lineRule="auto"/>
        <w:ind w:firstLineChars="200" w:firstLine="480"/>
        <w:rPr>
          <w:rFonts w:ascii="宋体" w:hAnsi="宋体"/>
          <w:color w:val="000000"/>
          <w:sz w:val="24"/>
          <w:szCs w:val="24"/>
        </w:rPr>
      </w:pPr>
      <w:r w:rsidRPr="00400D1A">
        <w:rPr>
          <w:rFonts w:ascii="宋体" w:hAnsi="宋体" w:hint="eastAsia"/>
          <w:color w:val="000000"/>
          <w:sz w:val="24"/>
          <w:szCs w:val="24"/>
        </w:rPr>
        <w:t>为了规范募集资金的管理和使用，提高资金使用效率和效益，保护投资者权益，本公司按照《中华人民共和国公司法》《中华人民共和国证券法》《上市公司监管指引第2号——上市公司募集资金管理和使用的监管要求（2022年修订）》（证监会公告〔2022〕15号）和《上海证券交易所科创板上市公司自律监管指引第1号——规范运作》（上证发〔2022〕14号）等有关法律、法规和规范性文件的规定，结合公司实际情况，制定了《赛恩斯环保股份有限公司募集资金管理办法》（以下简称《管理办法》）。根据《管理办法》，本公司对募集资金实行专户存储，在银行设立募集资金专户，并连同保荐机构</w:t>
      </w:r>
      <w:proofErr w:type="gramStart"/>
      <w:r w:rsidRPr="00400D1A">
        <w:rPr>
          <w:rFonts w:ascii="宋体" w:hAnsi="宋体" w:hint="eastAsia"/>
          <w:color w:val="000000"/>
          <w:sz w:val="24"/>
          <w:szCs w:val="24"/>
        </w:rPr>
        <w:t>申万宏源证券</w:t>
      </w:r>
      <w:proofErr w:type="gramEnd"/>
      <w:r w:rsidRPr="00400D1A">
        <w:rPr>
          <w:rFonts w:ascii="宋体" w:hAnsi="宋体" w:hint="eastAsia"/>
          <w:color w:val="000000"/>
          <w:sz w:val="24"/>
          <w:szCs w:val="24"/>
        </w:rPr>
        <w:t>承销保荐有限责任公司于2022年11月16日分别与兴业银行股份有限公司长沙分行、招商银行股份有限公司长沙分行签订了《募集资金三方监管协议》，明确了各方的权利和义务。三方监管协议与上海证券交易所三方监管协议范本不存在重大差异，本公司在使用募集资金时已经严格遵照履行。</w:t>
      </w:r>
    </w:p>
    <w:p w14:paraId="2D23F70E" w14:textId="77777777" w:rsidR="00400D1A" w:rsidRDefault="00400D1A" w:rsidP="00306681">
      <w:pPr>
        <w:autoSpaceDE w:val="0"/>
        <w:autoSpaceDN w:val="0"/>
        <w:adjustRightInd w:val="0"/>
        <w:spacing w:line="360" w:lineRule="auto"/>
        <w:ind w:firstLineChars="200" w:firstLine="480"/>
        <w:rPr>
          <w:rFonts w:ascii="宋体" w:hAnsi="宋体"/>
          <w:color w:val="000000"/>
          <w:sz w:val="24"/>
          <w:szCs w:val="24"/>
        </w:rPr>
      </w:pPr>
      <w:r w:rsidRPr="00400D1A">
        <w:rPr>
          <w:rFonts w:ascii="宋体" w:hAnsi="宋体" w:hint="eastAsia"/>
          <w:color w:val="000000"/>
          <w:sz w:val="24"/>
          <w:szCs w:val="24"/>
        </w:rPr>
        <w:t>本公司对子公司长沙赛恩斯环保工程技术有限公司（以下简称赛恩斯工程公司）募集资金实行专户存储，在银行设立募集资金专户，并连同保荐机构</w:t>
      </w:r>
      <w:proofErr w:type="gramStart"/>
      <w:r w:rsidRPr="00400D1A">
        <w:rPr>
          <w:rFonts w:ascii="宋体" w:hAnsi="宋体" w:hint="eastAsia"/>
          <w:color w:val="000000"/>
          <w:sz w:val="24"/>
          <w:szCs w:val="24"/>
        </w:rPr>
        <w:t>申万宏源证券</w:t>
      </w:r>
      <w:proofErr w:type="gramEnd"/>
      <w:r w:rsidRPr="00400D1A">
        <w:rPr>
          <w:rFonts w:ascii="宋体" w:hAnsi="宋体" w:hint="eastAsia"/>
          <w:color w:val="000000"/>
          <w:sz w:val="24"/>
          <w:szCs w:val="24"/>
        </w:rPr>
        <w:t>承销保荐有限责任公司于2022年11月16日与交通银行股份有限公司湖南省分行签订了《募集资金四方监管协议》，明确了各方的权利和义务。四方监管协议与上海证券交易所三方监管协议范本不存在重大差异，本公司在使用</w:t>
      </w:r>
      <w:r w:rsidRPr="00400D1A">
        <w:rPr>
          <w:rFonts w:ascii="宋体" w:hAnsi="宋体" w:hint="eastAsia"/>
          <w:color w:val="000000"/>
          <w:sz w:val="24"/>
          <w:szCs w:val="24"/>
        </w:rPr>
        <w:lastRenderedPageBreak/>
        <w:t>募集资金时已经严格遵照履行。</w:t>
      </w:r>
    </w:p>
    <w:p w14:paraId="1AF37BCB" w14:textId="3B790790" w:rsidR="0021466C" w:rsidRPr="006A12DF" w:rsidRDefault="00BC23BA" w:rsidP="00400D1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Pr>
          <w:rFonts w:ascii="宋体" w:hAnsi="宋体" w:hint="eastAsia"/>
          <w:b/>
          <w:bCs/>
          <w:color w:val="000000"/>
          <w:sz w:val="24"/>
          <w:szCs w:val="24"/>
        </w:rPr>
        <w:t>2、</w:t>
      </w:r>
      <w:r w:rsidR="0021466C" w:rsidRPr="006A12DF">
        <w:rPr>
          <w:rFonts w:ascii="宋体" w:hAnsi="宋体" w:hint="eastAsia"/>
          <w:b/>
          <w:bCs/>
          <w:color w:val="000000"/>
          <w:sz w:val="24"/>
          <w:szCs w:val="24"/>
        </w:rPr>
        <w:t>募集资金专户存储情况</w:t>
      </w:r>
    </w:p>
    <w:p w14:paraId="09E0D8F1" w14:textId="1F711939" w:rsidR="0021466C" w:rsidRPr="0021466C" w:rsidRDefault="0021466C" w:rsidP="00654B6F">
      <w:pPr>
        <w:autoSpaceDE w:val="0"/>
        <w:autoSpaceDN w:val="0"/>
        <w:adjustRightInd w:val="0"/>
        <w:spacing w:line="360" w:lineRule="auto"/>
        <w:ind w:firstLineChars="200" w:firstLine="480"/>
        <w:rPr>
          <w:rFonts w:ascii="宋体" w:hAnsi="宋体"/>
          <w:color w:val="000000"/>
          <w:sz w:val="24"/>
          <w:szCs w:val="24"/>
        </w:rPr>
      </w:pPr>
      <w:r w:rsidRPr="0021466C">
        <w:rPr>
          <w:rFonts w:ascii="宋体" w:hAnsi="宋体" w:hint="eastAsia"/>
          <w:color w:val="000000"/>
          <w:sz w:val="24"/>
          <w:szCs w:val="24"/>
        </w:rPr>
        <w:t>截至2022年12月31日，</w:t>
      </w:r>
      <w:r w:rsidR="000A0357">
        <w:rPr>
          <w:rFonts w:ascii="宋体" w:hAnsi="宋体" w:hint="eastAsia"/>
          <w:color w:val="000000"/>
          <w:sz w:val="24"/>
          <w:szCs w:val="24"/>
        </w:rPr>
        <w:t>公司及子公司</w:t>
      </w:r>
      <w:r w:rsidRPr="0021466C">
        <w:rPr>
          <w:rFonts w:ascii="宋体" w:hAnsi="宋体" w:hint="eastAsia"/>
          <w:color w:val="000000"/>
          <w:sz w:val="24"/>
          <w:szCs w:val="24"/>
        </w:rPr>
        <w:t>募集资金专户存储情况如下：</w:t>
      </w:r>
    </w:p>
    <w:p w14:paraId="4FF9D85B" w14:textId="0E9FA608" w:rsidR="0021466C" w:rsidRDefault="00F0293F" w:rsidP="0021466C">
      <w:pPr>
        <w:autoSpaceDE w:val="0"/>
        <w:autoSpaceDN w:val="0"/>
        <w:adjustRightInd w:val="0"/>
        <w:spacing w:line="560" w:lineRule="exact"/>
        <w:ind w:firstLineChars="200" w:firstLine="480"/>
        <w:jc w:val="right"/>
        <w:rPr>
          <w:rFonts w:ascii="宋体" w:hAnsi="宋体"/>
          <w:color w:val="000000"/>
          <w:sz w:val="24"/>
          <w:szCs w:val="24"/>
        </w:rPr>
      </w:pPr>
      <w:r>
        <w:rPr>
          <w:rFonts w:ascii="宋体" w:hAnsi="宋体" w:hint="eastAsia"/>
          <w:color w:val="000000"/>
          <w:sz w:val="24"/>
          <w:szCs w:val="24"/>
        </w:rPr>
        <w:t>单位：</w:t>
      </w:r>
      <w:r w:rsidR="0021466C" w:rsidRPr="0021466C">
        <w:rPr>
          <w:rFonts w:ascii="宋体" w:hAnsi="宋体" w:hint="eastAsia"/>
          <w:color w:val="000000"/>
          <w:sz w:val="24"/>
          <w:szCs w:val="24"/>
        </w:rPr>
        <w:t>元</w:t>
      </w:r>
    </w:p>
    <w:tbl>
      <w:tblPr>
        <w:tblStyle w:val="1"/>
        <w:tblW w:w="8412" w:type="dxa"/>
        <w:tblInd w:w="108" w:type="dxa"/>
        <w:tblLayout w:type="fixed"/>
        <w:tblLook w:val="04A0" w:firstRow="1" w:lastRow="0" w:firstColumn="1" w:lastColumn="0" w:noHBand="0" w:noVBand="1"/>
      </w:tblPr>
      <w:tblGrid>
        <w:gridCol w:w="2022"/>
        <w:gridCol w:w="1806"/>
        <w:gridCol w:w="2551"/>
        <w:gridCol w:w="2033"/>
      </w:tblGrid>
      <w:tr w:rsidR="00162FA4" w:rsidRPr="00400D1A" w14:paraId="6B26CF06" w14:textId="77777777" w:rsidTr="00400D1A">
        <w:trPr>
          <w:trHeight w:val="558"/>
        </w:trPr>
        <w:tc>
          <w:tcPr>
            <w:tcW w:w="2022" w:type="dxa"/>
            <w:vAlign w:val="center"/>
          </w:tcPr>
          <w:p w14:paraId="1A94045B" w14:textId="77777777" w:rsidR="00162FA4" w:rsidRPr="00400D1A" w:rsidRDefault="00162FA4" w:rsidP="00233E57">
            <w:pPr>
              <w:jc w:val="center"/>
              <w:rPr>
                <w:rFonts w:ascii="宋体" w:hAnsi="宋体" w:cs="宋体"/>
                <w:b/>
                <w:color w:val="000000" w:themeColor="text1"/>
                <w:sz w:val="24"/>
                <w:szCs w:val="24"/>
              </w:rPr>
            </w:pPr>
            <w:r w:rsidRPr="00400D1A">
              <w:rPr>
                <w:rFonts w:ascii="宋体" w:hAnsi="宋体" w:cs="宋体" w:hint="eastAsia"/>
                <w:b/>
                <w:color w:val="000000" w:themeColor="text1"/>
                <w:sz w:val="24"/>
                <w:szCs w:val="24"/>
              </w:rPr>
              <w:t>开户行</w:t>
            </w:r>
          </w:p>
        </w:tc>
        <w:tc>
          <w:tcPr>
            <w:tcW w:w="1806" w:type="dxa"/>
            <w:vAlign w:val="center"/>
          </w:tcPr>
          <w:p w14:paraId="3B77DEC4" w14:textId="77777777" w:rsidR="00162FA4" w:rsidRPr="00400D1A" w:rsidRDefault="00162FA4" w:rsidP="00233E57">
            <w:pPr>
              <w:jc w:val="center"/>
              <w:rPr>
                <w:rFonts w:ascii="宋体" w:hAnsi="宋体" w:cs="宋体"/>
                <w:b/>
                <w:color w:val="000000" w:themeColor="text1"/>
                <w:sz w:val="24"/>
                <w:szCs w:val="24"/>
              </w:rPr>
            </w:pPr>
            <w:r w:rsidRPr="00400D1A">
              <w:rPr>
                <w:rFonts w:ascii="宋体" w:hAnsi="宋体" w:cs="宋体" w:hint="eastAsia"/>
                <w:b/>
                <w:color w:val="000000" w:themeColor="text1"/>
                <w:sz w:val="24"/>
                <w:szCs w:val="24"/>
              </w:rPr>
              <w:t>账户名称</w:t>
            </w:r>
          </w:p>
        </w:tc>
        <w:tc>
          <w:tcPr>
            <w:tcW w:w="2551" w:type="dxa"/>
            <w:vAlign w:val="center"/>
          </w:tcPr>
          <w:p w14:paraId="00A9D887" w14:textId="77777777" w:rsidR="00162FA4" w:rsidRPr="00400D1A" w:rsidRDefault="00162FA4" w:rsidP="00233E57">
            <w:pPr>
              <w:jc w:val="center"/>
              <w:rPr>
                <w:rFonts w:ascii="宋体" w:hAnsi="宋体" w:cs="宋体"/>
                <w:b/>
                <w:color w:val="000000" w:themeColor="text1"/>
                <w:sz w:val="24"/>
                <w:szCs w:val="24"/>
              </w:rPr>
            </w:pPr>
            <w:r w:rsidRPr="00400D1A">
              <w:rPr>
                <w:rFonts w:ascii="宋体" w:hAnsi="宋体" w:cs="宋体" w:hint="eastAsia"/>
                <w:b/>
                <w:color w:val="000000" w:themeColor="text1"/>
                <w:sz w:val="24"/>
                <w:szCs w:val="24"/>
              </w:rPr>
              <w:t>账号</w:t>
            </w:r>
          </w:p>
        </w:tc>
        <w:tc>
          <w:tcPr>
            <w:tcW w:w="2033" w:type="dxa"/>
            <w:vAlign w:val="center"/>
          </w:tcPr>
          <w:p w14:paraId="0EE465EC" w14:textId="77777777" w:rsidR="00162FA4" w:rsidRPr="00400D1A" w:rsidRDefault="00162FA4" w:rsidP="00233E57">
            <w:pPr>
              <w:jc w:val="center"/>
              <w:rPr>
                <w:rFonts w:ascii="宋体" w:hAnsi="宋体" w:cs="宋体"/>
                <w:b/>
                <w:color w:val="000000" w:themeColor="text1"/>
                <w:sz w:val="24"/>
                <w:szCs w:val="24"/>
              </w:rPr>
            </w:pPr>
            <w:r w:rsidRPr="00400D1A">
              <w:rPr>
                <w:rFonts w:ascii="宋体" w:hAnsi="宋体" w:cs="宋体" w:hint="eastAsia"/>
                <w:b/>
                <w:color w:val="000000" w:themeColor="text1"/>
                <w:sz w:val="24"/>
                <w:szCs w:val="24"/>
              </w:rPr>
              <w:t>余额（元）</w:t>
            </w:r>
          </w:p>
        </w:tc>
      </w:tr>
      <w:tr w:rsidR="00400D1A" w:rsidRPr="00400D1A" w14:paraId="5843B571" w14:textId="77777777" w:rsidTr="00400D1A">
        <w:trPr>
          <w:trHeight w:val="559"/>
        </w:trPr>
        <w:tc>
          <w:tcPr>
            <w:tcW w:w="2022" w:type="dxa"/>
          </w:tcPr>
          <w:p w14:paraId="4AE0F8AD" w14:textId="7DD5168C" w:rsidR="00400D1A" w:rsidRPr="00400D1A" w:rsidRDefault="00400D1A" w:rsidP="00400D1A">
            <w:pPr>
              <w:jc w:val="center"/>
              <w:rPr>
                <w:rFonts w:ascii="宋体" w:hAnsi="宋体" w:cs="宋体"/>
                <w:color w:val="000000" w:themeColor="text1"/>
                <w:sz w:val="24"/>
                <w:szCs w:val="24"/>
              </w:rPr>
            </w:pPr>
            <w:r w:rsidRPr="00400D1A">
              <w:rPr>
                <w:rFonts w:hint="eastAsia"/>
                <w:sz w:val="24"/>
                <w:szCs w:val="24"/>
              </w:rPr>
              <w:t>兴业银行股份有限公司长沙劳动路支行</w:t>
            </w:r>
          </w:p>
        </w:tc>
        <w:tc>
          <w:tcPr>
            <w:tcW w:w="1806" w:type="dxa"/>
            <w:vAlign w:val="center"/>
          </w:tcPr>
          <w:p w14:paraId="33B0DED6" w14:textId="77777777" w:rsidR="00400D1A" w:rsidRPr="00400D1A" w:rsidRDefault="00400D1A" w:rsidP="00400D1A">
            <w:pPr>
              <w:jc w:val="center"/>
              <w:rPr>
                <w:rFonts w:ascii="宋体" w:hAnsi="宋体" w:cs="宋体"/>
                <w:color w:val="000000" w:themeColor="text1"/>
                <w:sz w:val="24"/>
                <w:szCs w:val="24"/>
              </w:rPr>
            </w:pPr>
            <w:r w:rsidRPr="00400D1A">
              <w:rPr>
                <w:rFonts w:ascii="宋体" w:hAnsi="宋体" w:cs="宋体" w:hint="eastAsia"/>
                <w:color w:val="000000" w:themeColor="text1"/>
                <w:sz w:val="24"/>
                <w:szCs w:val="24"/>
              </w:rPr>
              <w:t>赛恩斯环保股份有限公司</w:t>
            </w:r>
          </w:p>
        </w:tc>
        <w:tc>
          <w:tcPr>
            <w:tcW w:w="2551" w:type="dxa"/>
            <w:vAlign w:val="center"/>
          </w:tcPr>
          <w:p w14:paraId="2361975A" w14:textId="77777777" w:rsidR="00400D1A" w:rsidRPr="00400D1A" w:rsidRDefault="00400D1A" w:rsidP="00400D1A">
            <w:pPr>
              <w:jc w:val="center"/>
              <w:rPr>
                <w:rFonts w:ascii="宋体" w:hAnsi="宋体" w:cs="Arial"/>
                <w:color w:val="000000"/>
                <w:spacing w:val="4"/>
                <w:sz w:val="24"/>
                <w:szCs w:val="24"/>
              </w:rPr>
            </w:pPr>
            <w:r w:rsidRPr="00400D1A">
              <w:rPr>
                <w:rFonts w:ascii="宋体" w:hAnsi="宋体" w:cs="Arial"/>
                <w:color w:val="000000"/>
                <w:spacing w:val="4"/>
                <w:sz w:val="24"/>
                <w:szCs w:val="24"/>
              </w:rPr>
              <w:t>368160100100296667</w:t>
            </w:r>
          </w:p>
        </w:tc>
        <w:tc>
          <w:tcPr>
            <w:tcW w:w="2033" w:type="dxa"/>
            <w:vAlign w:val="center"/>
          </w:tcPr>
          <w:p w14:paraId="71F828D7" w14:textId="5B88F145" w:rsidR="00400D1A" w:rsidRPr="00400D1A" w:rsidRDefault="00400D1A" w:rsidP="00400D1A">
            <w:pPr>
              <w:jc w:val="center"/>
              <w:rPr>
                <w:rFonts w:ascii="宋体" w:hAnsi="宋体" w:cs="Arial"/>
                <w:color w:val="000000"/>
                <w:spacing w:val="4"/>
                <w:sz w:val="24"/>
                <w:szCs w:val="24"/>
              </w:rPr>
            </w:pPr>
            <w:r w:rsidRPr="00400D1A">
              <w:rPr>
                <w:rFonts w:ascii="宋体" w:hAnsi="宋体" w:cs="Arial"/>
                <w:color w:val="000000"/>
                <w:spacing w:val="4"/>
                <w:sz w:val="24"/>
                <w:szCs w:val="24"/>
              </w:rPr>
              <w:t>232,446,979.00</w:t>
            </w:r>
          </w:p>
        </w:tc>
      </w:tr>
      <w:tr w:rsidR="00400D1A" w:rsidRPr="00400D1A" w14:paraId="2556CB73" w14:textId="77777777" w:rsidTr="00400D1A">
        <w:trPr>
          <w:trHeight w:val="483"/>
        </w:trPr>
        <w:tc>
          <w:tcPr>
            <w:tcW w:w="2022" w:type="dxa"/>
          </w:tcPr>
          <w:p w14:paraId="38949B46" w14:textId="0B0D175A" w:rsidR="00400D1A" w:rsidRPr="00400D1A" w:rsidRDefault="00400D1A" w:rsidP="00400D1A">
            <w:pPr>
              <w:jc w:val="center"/>
              <w:rPr>
                <w:rFonts w:ascii="宋体" w:hAnsi="宋体" w:cs="宋体"/>
                <w:color w:val="000000" w:themeColor="text1"/>
                <w:sz w:val="24"/>
                <w:szCs w:val="24"/>
              </w:rPr>
            </w:pPr>
            <w:r w:rsidRPr="00400D1A">
              <w:rPr>
                <w:rFonts w:hint="eastAsia"/>
                <w:sz w:val="24"/>
                <w:szCs w:val="24"/>
              </w:rPr>
              <w:t>招商银行股份有限公司长沙麓谷支行</w:t>
            </w:r>
          </w:p>
        </w:tc>
        <w:tc>
          <w:tcPr>
            <w:tcW w:w="1806" w:type="dxa"/>
            <w:vAlign w:val="center"/>
          </w:tcPr>
          <w:p w14:paraId="3815A37F" w14:textId="77777777" w:rsidR="00400D1A" w:rsidRPr="00400D1A" w:rsidRDefault="00400D1A" w:rsidP="00400D1A">
            <w:pPr>
              <w:jc w:val="center"/>
              <w:rPr>
                <w:rFonts w:ascii="宋体" w:hAnsi="宋体" w:cs="宋体"/>
                <w:color w:val="000000" w:themeColor="text1"/>
                <w:sz w:val="24"/>
                <w:szCs w:val="24"/>
              </w:rPr>
            </w:pPr>
            <w:r w:rsidRPr="00400D1A">
              <w:rPr>
                <w:rFonts w:ascii="宋体" w:hAnsi="宋体" w:cs="宋体" w:hint="eastAsia"/>
                <w:color w:val="000000" w:themeColor="text1"/>
                <w:sz w:val="24"/>
                <w:szCs w:val="24"/>
              </w:rPr>
              <w:t>赛恩斯环保股份有限公司</w:t>
            </w:r>
          </w:p>
        </w:tc>
        <w:tc>
          <w:tcPr>
            <w:tcW w:w="2551" w:type="dxa"/>
            <w:vAlign w:val="center"/>
          </w:tcPr>
          <w:p w14:paraId="312E1B86" w14:textId="77777777" w:rsidR="00400D1A" w:rsidRPr="00400D1A" w:rsidRDefault="00400D1A" w:rsidP="00400D1A">
            <w:pPr>
              <w:jc w:val="center"/>
              <w:rPr>
                <w:rFonts w:ascii="宋体" w:hAnsi="宋体" w:cs="Arial"/>
                <w:color w:val="000000"/>
                <w:spacing w:val="4"/>
                <w:sz w:val="24"/>
                <w:szCs w:val="24"/>
              </w:rPr>
            </w:pPr>
            <w:r w:rsidRPr="00400D1A">
              <w:rPr>
                <w:rFonts w:ascii="宋体" w:hAnsi="宋体" w:cs="Arial"/>
                <w:color w:val="000000"/>
                <w:spacing w:val="4"/>
                <w:sz w:val="24"/>
                <w:szCs w:val="24"/>
              </w:rPr>
              <w:t>755946313810118</w:t>
            </w:r>
          </w:p>
        </w:tc>
        <w:tc>
          <w:tcPr>
            <w:tcW w:w="2033" w:type="dxa"/>
            <w:vAlign w:val="center"/>
          </w:tcPr>
          <w:p w14:paraId="50E2BC18" w14:textId="1D96EF08" w:rsidR="00400D1A" w:rsidRPr="00400D1A" w:rsidRDefault="00400D1A" w:rsidP="00400D1A">
            <w:pPr>
              <w:jc w:val="center"/>
              <w:rPr>
                <w:rFonts w:ascii="宋体" w:hAnsi="宋体" w:cs="Arial"/>
                <w:color w:val="000000" w:themeColor="text1"/>
                <w:spacing w:val="4"/>
                <w:sz w:val="24"/>
                <w:szCs w:val="24"/>
              </w:rPr>
            </w:pPr>
            <w:r w:rsidRPr="00400D1A">
              <w:rPr>
                <w:rFonts w:ascii="宋体" w:hAnsi="宋体" w:cs="Arial"/>
                <w:color w:val="000000" w:themeColor="text1"/>
                <w:spacing w:val="4"/>
                <w:sz w:val="24"/>
                <w:szCs w:val="24"/>
              </w:rPr>
              <w:t>70,960,515.12</w:t>
            </w:r>
          </w:p>
        </w:tc>
      </w:tr>
      <w:tr w:rsidR="00400D1A" w:rsidRPr="00400D1A" w14:paraId="1B82574D" w14:textId="77777777" w:rsidTr="00400D1A">
        <w:trPr>
          <w:trHeight w:val="563"/>
        </w:trPr>
        <w:tc>
          <w:tcPr>
            <w:tcW w:w="2022" w:type="dxa"/>
          </w:tcPr>
          <w:p w14:paraId="0DC7AF61" w14:textId="5A2943ED" w:rsidR="00400D1A" w:rsidRPr="00400D1A" w:rsidRDefault="00400D1A" w:rsidP="00400D1A">
            <w:pPr>
              <w:jc w:val="center"/>
              <w:rPr>
                <w:rFonts w:ascii="宋体" w:hAnsi="宋体" w:cs="宋体"/>
                <w:color w:val="000000" w:themeColor="text1"/>
                <w:sz w:val="24"/>
                <w:szCs w:val="24"/>
              </w:rPr>
            </w:pPr>
            <w:r w:rsidRPr="00400D1A">
              <w:rPr>
                <w:rFonts w:hint="eastAsia"/>
                <w:sz w:val="24"/>
                <w:szCs w:val="24"/>
              </w:rPr>
              <w:t>交通银行股份有限公司长沙湘江中路支行</w:t>
            </w:r>
          </w:p>
        </w:tc>
        <w:tc>
          <w:tcPr>
            <w:tcW w:w="1806" w:type="dxa"/>
            <w:vAlign w:val="center"/>
          </w:tcPr>
          <w:p w14:paraId="409FE358" w14:textId="77777777" w:rsidR="00400D1A" w:rsidRPr="00400D1A" w:rsidRDefault="00400D1A" w:rsidP="00400D1A">
            <w:pPr>
              <w:jc w:val="center"/>
              <w:rPr>
                <w:rFonts w:ascii="宋体" w:hAnsi="宋体" w:cs="宋体"/>
                <w:color w:val="000000" w:themeColor="text1"/>
                <w:sz w:val="24"/>
                <w:szCs w:val="24"/>
              </w:rPr>
            </w:pPr>
            <w:r w:rsidRPr="00400D1A">
              <w:rPr>
                <w:rFonts w:ascii="宋体" w:hAnsi="宋体" w:cs="宋体" w:hint="eastAsia"/>
                <w:color w:val="000000" w:themeColor="text1"/>
                <w:sz w:val="24"/>
                <w:szCs w:val="24"/>
              </w:rPr>
              <w:t>长沙赛恩斯环保工程技术有限公司</w:t>
            </w:r>
          </w:p>
        </w:tc>
        <w:tc>
          <w:tcPr>
            <w:tcW w:w="2551" w:type="dxa"/>
            <w:vAlign w:val="center"/>
          </w:tcPr>
          <w:p w14:paraId="50E18F45" w14:textId="77777777" w:rsidR="00400D1A" w:rsidRPr="00400D1A" w:rsidRDefault="00400D1A" w:rsidP="00400D1A">
            <w:pPr>
              <w:jc w:val="center"/>
              <w:rPr>
                <w:rFonts w:ascii="宋体" w:hAnsi="宋体" w:cs="Arial"/>
                <w:color w:val="000000"/>
                <w:spacing w:val="4"/>
                <w:sz w:val="24"/>
                <w:szCs w:val="24"/>
              </w:rPr>
            </w:pPr>
            <w:r w:rsidRPr="00400D1A">
              <w:rPr>
                <w:rFonts w:ascii="宋体" w:hAnsi="宋体" w:cs="Arial"/>
                <w:color w:val="000000"/>
                <w:spacing w:val="4"/>
                <w:sz w:val="24"/>
                <w:szCs w:val="24"/>
              </w:rPr>
              <w:t>431601888013001899977</w:t>
            </w:r>
          </w:p>
        </w:tc>
        <w:tc>
          <w:tcPr>
            <w:tcW w:w="2033" w:type="dxa"/>
            <w:vAlign w:val="center"/>
          </w:tcPr>
          <w:p w14:paraId="78421DE8" w14:textId="7DCA2D88" w:rsidR="00400D1A" w:rsidRPr="00400D1A" w:rsidRDefault="00400D1A" w:rsidP="00400D1A">
            <w:pPr>
              <w:jc w:val="center"/>
              <w:rPr>
                <w:rFonts w:ascii="宋体" w:hAnsi="宋体" w:cs="Arial"/>
                <w:color w:val="000000"/>
                <w:spacing w:val="4"/>
                <w:sz w:val="24"/>
                <w:szCs w:val="24"/>
              </w:rPr>
            </w:pPr>
            <w:r w:rsidRPr="00400D1A">
              <w:rPr>
                <w:rFonts w:ascii="宋体" w:hAnsi="宋体" w:cs="Arial"/>
                <w:color w:val="000000"/>
                <w:spacing w:val="4"/>
                <w:sz w:val="24"/>
                <w:szCs w:val="24"/>
              </w:rPr>
              <w:t>104,817,994.00</w:t>
            </w:r>
          </w:p>
        </w:tc>
      </w:tr>
      <w:tr w:rsidR="00162FA4" w:rsidRPr="00400D1A" w14:paraId="224F8011" w14:textId="77777777" w:rsidTr="00400D1A">
        <w:trPr>
          <w:trHeight w:val="495"/>
        </w:trPr>
        <w:tc>
          <w:tcPr>
            <w:tcW w:w="2022" w:type="dxa"/>
            <w:vAlign w:val="center"/>
          </w:tcPr>
          <w:p w14:paraId="725BEEED" w14:textId="77777777" w:rsidR="00162FA4" w:rsidRPr="00400D1A" w:rsidRDefault="00162FA4" w:rsidP="00233E57">
            <w:pPr>
              <w:jc w:val="center"/>
              <w:rPr>
                <w:rFonts w:ascii="宋体" w:hAnsi="宋体" w:cs="宋体"/>
                <w:color w:val="000000" w:themeColor="text1"/>
                <w:sz w:val="24"/>
                <w:szCs w:val="24"/>
              </w:rPr>
            </w:pPr>
            <w:r w:rsidRPr="00400D1A">
              <w:rPr>
                <w:rFonts w:ascii="宋体" w:hAnsi="宋体" w:cs="宋体" w:hint="eastAsia"/>
                <w:color w:val="000000" w:themeColor="text1"/>
                <w:sz w:val="24"/>
                <w:szCs w:val="24"/>
              </w:rPr>
              <w:t>合计</w:t>
            </w:r>
          </w:p>
        </w:tc>
        <w:tc>
          <w:tcPr>
            <w:tcW w:w="1806" w:type="dxa"/>
            <w:vAlign w:val="center"/>
          </w:tcPr>
          <w:p w14:paraId="4BE9DEA7" w14:textId="77777777" w:rsidR="00162FA4" w:rsidRPr="00400D1A" w:rsidRDefault="00162FA4" w:rsidP="00233E57">
            <w:pPr>
              <w:jc w:val="center"/>
              <w:rPr>
                <w:rFonts w:ascii="宋体" w:hAnsi="宋体" w:cs="宋体"/>
                <w:color w:val="000000" w:themeColor="text1"/>
                <w:sz w:val="24"/>
                <w:szCs w:val="24"/>
              </w:rPr>
            </w:pPr>
          </w:p>
        </w:tc>
        <w:tc>
          <w:tcPr>
            <w:tcW w:w="2551" w:type="dxa"/>
            <w:vAlign w:val="center"/>
          </w:tcPr>
          <w:p w14:paraId="660F7D83" w14:textId="77777777" w:rsidR="00162FA4" w:rsidRPr="00400D1A" w:rsidRDefault="00162FA4" w:rsidP="00233E57">
            <w:pPr>
              <w:jc w:val="center"/>
              <w:rPr>
                <w:rFonts w:ascii="宋体" w:hAnsi="宋体" w:cs="Arial"/>
                <w:color w:val="000000"/>
                <w:spacing w:val="4"/>
                <w:sz w:val="24"/>
                <w:szCs w:val="24"/>
              </w:rPr>
            </w:pPr>
          </w:p>
        </w:tc>
        <w:tc>
          <w:tcPr>
            <w:tcW w:w="2033" w:type="dxa"/>
            <w:vAlign w:val="center"/>
          </w:tcPr>
          <w:p w14:paraId="7B4F0A6A" w14:textId="54B2AD79" w:rsidR="00162FA4" w:rsidRPr="00400D1A" w:rsidRDefault="00F0293F" w:rsidP="00233E57">
            <w:pPr>
              <w:jc w:val="center"/>
              <w:rPr>
                <w:rFonts w:ascii="宋体" w:hAnsi="宋体" w:cs="Arial"/>
                <w:color w:val="000000"/>
                <w:spacing w:val="4"/>
                <w:sz w:val="24"/>
                <w:szCs w:val="24"/>
              </w:rPr>
            </w:pPr>
            <w:r w:rsidRPr="00400D1A">
              <w:rPr>
                <w:rFonts w:ascii="宋体" w:hAnsi="宋体" w:cs="Arial"/>
                <w:color w:val="000000"/>
                <w:spacing w:val="4"/>
                <w:sz w:val="24"/>
                <w:szCs w:val="24"/>
              </w:rPr>
              <w:t>408,225,488.12</w:t>
            </w:r>
          </w:p>
        </w:tc>
      </w:tr>
    </w:tbl>
    <w:p w14:paraId="2ACE9DDB" w14:textId="5EF0D3E1" w:rsidR="00E1093A" w:rsidRPr="007B534C" w:rsidRDefault="00E1093A" w:rsidP="00162FA4">
      <w:pPr>
        <w:autoSpaceDE w:val="0"/>
        <w:autoSpaceDN w:val="0"/>
        <w:adjustRightInd w:val="0"/>
        <w:spacing w:beforeLines="50" w:before="156" w:afterLines="50" w:after="156" w:line="360" w:lineRule="auto"/>
        <w:ind w:firstLineChars="200" w:firstLine="480"/>
        <w:rPr>
          <w:rFonts w:ascii="宋体" w:hAnsi="宋体"/>
          <w:bCs/>
          <w:color w:val="000000"/>
          <w:sz w:val="24"/>
          <w:szCs w:val="24"/>
        </w:rPr>
      </w:pPr>
      <w:r w:rsidRPr="007B534C">
        <w:rPr>
          <w:rFonts w:ascii="宋体" w:hAnsi="宋体" w:hint="eastAsia"/>
          <w:bCs/>
          <w:color w:val="000000"/>
          <w:sz w:val="24"/>
          <w:szCs w:val="24"/>
        </w:rPr>
        <w:t>三、本年度募集资金的实际使用情况</w:t>
      </w:r>
    </w:p>
    <w:p w14:paraId="18AA38CA" w14:textId="144894BE" w:rsidR="00782782" w:rsidRPr="00782782" w:rsidRDefault="0021466C" w:rsidP="00654B6F">
      <w:pPr>
        <w:autoSpaceDE w:val="0"/>
        <w:autoSpaceDN w:val="0"/>
        <w:adjustRightInd w:val="0"/>
        <w:spacing w:line="360" w:lineRule="auto"/>
        <w:ind w:firstLineChars="200" w:firstLine="480"/>
        <w:rPr>
          <w:rFonts w:ascii="宋体" w:hAnsi="宋体"/>
          <w:color w:val="000000"/>
          <w:sz w:val="24"/>
          <w:szCs w:val="24"/>
        </w:rPr>
      </w:pPr>
      <w:r w:rsidRPr="0021466C">
        <w:rPr>
          <w:rFonts w:ascii="宋体" w:hAnsi="宋体"/>
          <w:color w:val="000000"/>
          <w:sz w:val="24"/>
          <w:szCs w:val="24"/>
        </w:rPr>
        <w:t>截至2022年12月31日，公司</w:t>
      </w:r>
      <w:r w:rsidR="000A0357">
        <w:rPr>
          <w:rFonts w:ascii="宋体" w:hAnsi="宋体" w:hint="eastAsia"/>
          <w:color w:val="000000"/>
          <w:sz w:val="24"/>
          <w:szCs w:val="24"/>
        </w:rPr>
        <w:t>及子公司</w:t>
      </w:r>
      <w:r w:rsidRPr="0021466C">
        <w:rPr>
          <w:rFonts w:ascii="宋体" w:hAnsi="宋体"/>
          <w:color w:val="000000"/>
          <w:sz w:val="24"/>
          <w:szCs w:val="24"/>
        </w:rPr>
        <w:t>实际投入相关项目的募集资金款项共计人民币</w:t>
      </w:r>
      <w:r w:rsidR="00F0293F" w:rsidRPr="00F0293F">
        <w:rPr>
          <w:rFonts w:ascii="宋体" w:hAnsi="宋体"/>
          <w:color w:val="000000"/>
          <w:sz w:val="24"/>
          <w:szCs w:val="24"/>
        </w:rPr>
        <w:t>99.98</w:t>
      </w:r>
      <w:r w:rsidRPr="0021466C">
        <w:rPr>
          <w:rFonts w:ascii="宋体" w:hAnsi="宋体"/>
          <w:color w:val="000000"/>
          <w:sz w:val="24"/>
          <w:szCs w:val="24"/>
        </w:rPr>
        <w:t>万元，具体使用情况详见附表：</w:t>
      </w:r>
      <w:r w:rsidRPr="00654B6F">
        <w:rPr>
          <w:rFonts w:ascii="宋体" w:hAnsi="宋体" w:hint="eastAsia"/>
          <w:color w:val="000000"/>
          <w:sz w:val="24"/>
          <w:szCs w:val="24"/>
        </w:rPr>
        <w:t>《</w:t>
      </w:r>
      <w:r w:rsidRPr="0021466C">
        <w:rPr>
          <w:rFonts w:ascii="宋体" w:hAnsi="宋体"/>
          <w:color w:val="000000"/>
          <w:sz w:val="24"/>
          <w:szCs w:val="24"/>
        </w:rPr>
        <w:t>募集资金使用情况对照表</w:t>
      </w:r>
      <w:r w:rsidRPr="00654B6F">
        <w:rPr>
          <w:rFonts w:ascii="宋体" w:hAnsi="宋体" w:hint="eastAsia"/>
          <w:color w:val="000000"/>
          <w:sz w:val="24"/>
          <w:szCs w:val="24"/>
        </w:rPr>
        <w:t>》</w:t>
      </w:r>
      <w:r w:rsidRPr="0021466C">
        <w:rPr>
          <w:rFonts w:ascii="宋体" w:hAnsi="宋体"/>
          <w:color w:val="000000"/>
          <w:sz w:val="24"/>
          <w:szCs w:val="24"/>
        </w:rPr>
        <w:t>。</w:t>
      </w:r>
    </w:p>
    <w:p w14:paraId="5AE411F6" w14:textId="4E7BB9CD" w:rsidR="00E1093A" w:rsidRPr="00782782" w:rsidRDefault="008F5A76" w:rsidP="00654B6F">
      <w:pPr>
        <w:autoSpaceDE w:val="0"/>
        <w:autoSpaceDN w:val="0"/>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（一）</w:t>
      </w:r>
      <w:proofErr w:type="gramStart"/>
      <w:r w:rsidR="00E1093A" w:rsidRPr="00782782">
        <w:rPr>
          <w:rFonts w:ascii="宋体" w:hAnsi="宋体" w:hint="eastAsia"/>
          <w:color w:val="000000"/>
          <w:sz w:val="24"/>
          <w:szCs w:val="24"/>
        </w:rPr>
        <w:t>募投项目</w:t>
      </w:r>
      <w:proofErr w:type="gramEnd"/>
      <w:r w:rsidR="00E1093A" w:rsidRPr="00782782">
        <w:rPr>
          <w:rFonts w:ascii="宋体" w:hAnsi="宋体" w:hint="eastAsia"/>
          <w:color w:val="000000"/>
          <w:sz w:val="24"/>
          <w:szCs w:val="24"/>
        </w:rPr>
        <w:t>先期投入及置换情况。</w:t>
      </w:r>
    </w:p>
    <w:p w14:paraId="09954A31" w14:textId="761D7B97" w:rsidR="00782782" w:rsidRPr="00782782" w:rsidRDefault="00400D1A" w:rsidP="00782782">
      <w:pPr>
        <w:autoSpaceDE w:val="0"/>
        <w:autoSpaceDN w:val="0"/>
        <w:adjustRightInd w:val="0"/>
        <w:spacing w:line="360" w:lineRule="auto"/>
        <w:ind w:firstLineChars="200" w:firstLine="480"/>
        <w:rPr>
          <w:rFonts w:ascii="宋体" w:hAnsi="宋体"/>
          <w:color w:val="000000"/>
          <w:sz w:val="24"/>
          <w:szCs w:val="24"/>
        </w:rPr>
      </w:pPr>
      <w:r w:rsidRPr="00400D1A">
        <w:rPr>
          <w:rFonts w:ascii="宋体" w:hAnsi="宋体" w:hint="eastAsia"/>
          <w:color w:val="000000"/>
          <w:sz w:val="24"/>
          <w:szCs w:val="24"/>
        </w:rPr>
        <w:t>公司于2022年12月20日召开第二届董事会第十七次会议、第二届监事会第十一次会议，审议通过了《关于使用募集资金置换预先投入募投项目及已支付发行费用的自筹资金的议案》，同意公司或实施</w:t>
      </w:r>
      <w:proofErr w:type="gramStart"/>
      <w:r w:rsidRPr="00400D1A">
        <w:rPr>
          <w:rFonts w:ascii="宋体" w:hAnsi="宋体" w:hint="eastAsia"/>
          <w:color w:val="000000"/>
          <w:sz w:val="24"/>
          <w:szCs w:val="24"/>
        </w:rPr>
        <w:t>募投项目</w:t>
      </w:r>
      <w:proofErr w:type="gramEnd"/>
      <w:r w:rsidRPr="00400D1A">
        <w:rPr>
          <w:rFonts w:ascii="宋体" w:hAnsi="宋体" w:hint="eastAsia"/>
          <w:color w:val="000000"/>
          <w:sz w:val="24"/>
          <w:szCs w:val="24"/>
        </w:rPr>
        <w:t>的子公司长沙赛恩斯环保工程技术有限公司使用募集资金置换预先投入募集资金投资项目的自筹资金人民币99.98万元及已支付发行费用的自筹资金人民币561.91万元。截至2022年12月31日公司实际置换已支付发行费用的自筹资金人民币561.91万元，预先投入募集资金投资项目的自筹资金人民币99.98万元尚未从募集资金账户转出</w:t>
      </w:r>
      <w:r w:rsidR="00A33EED">
        <w:rPr>
          <w:rFonts w:ascii="宋体" w:hAnsi="宋体" w:hint="eastAsia"/>
          <w:color w:val="000000"/>
          <w:sz w:val="24"/>
          <w:szCs w:val="24"/>
        </w:rPr>
        <w:t>。</w:t>
      </w:r>
      <w:r w:rsidR="001D2388">
        <w:rPr>
          <w:rFonts w:ascii="宋体" w:hAnsi="宋体" w:hint="eastAsia"/>
          <w:color w:val="000000"/>
          <w:sz w:val="24"/>
          <w:szCs w:val="24"/>
        </w:rPr>
        <w:t>后</w:t>
      </w:r>
      <w:r w:rsidRPr="00400D1A">
        <w:rPr>
          <w:rFonts w:ascii="宋体" w:hAnsi="宋体" w:hint="eastAsia"/>
          <w:color w:val="000000"/>
          <w:sz w:val="24"/>
          <w:szCs w:val="24"/>
        </w:rPr>
        <w:t>于2023年1月从募集资金账户转出。</w:t>
      </w:r>
      <w:r w:rsidR="00782782" w:rsidRPr="00782782">
        <w:rPr>
          <w:rFonts w:ascii="宋体" w:hAnsi="宋体" w:hint="eastAsia"/>
          <w:color w:val="000000"/>
          <w:sz w:val="24"/>
          <w:szCs w:val="24"/>
        </w:rPr>
        <w:t>具体内容详见公司于2022年</w:t>
      </w:r>
      <w:r w:rsidR="000A0357">
        <w:rPr>
          <w:rFonts w:ascii="宋体" w:hAnsi="宋体"/>
          <w:color w:val="000000"/>
          <w:sz w:val="24"/>
          <w:szCs w:val="24"/>
        </w:rPr>
        <w:t>12</w:t>
      </w:r>
      <w:r w:rsidR="00782782" w:rsidRPr="00782782">
        <w:rPr>
          <w:rFonts w:ascii="宋体" w:hAnsi="宋体" w:hint="eastAsia"/>
          <w:color w:val="000000"/>
          <w:sz w:val="24"/>
          <w:szCs w:val="24"/>
        </w:rPr>
        <w:t>月</w:t>
      </w:r>
      <w:r w:rsidR="000A0357">
        <w:rPr>
          <w:rFonts w:ascii="宋体" w:hAnsi="宋体"/>
          <w:color w:val="000000"/>
          <w:sz w:val="24"/>
          <w:szCs w:val="24"/>
        </w:rPr>
        <w:t>21</w:t>
      </w:r>
      <w:r w:rsidR="00782782" w:rsidRPr="00782782">
        <w:rPr>
          <w:rFonts w:ascii="宋体" w:hAnsi="宋体" w:hint="eastAsia"/>
          <w:color w:val="000000"/>
          <w:sz w:val="24"/>
          <w:szCs w:val="24"/>
        </w:rPr>
        <w:t>日在上海证券交易所网站披露的《</w:t>
      </w:r>
      <w:r w:rsidR="000A0357" w:rsidRPr="000A0357">
        <w:rPr>
          <w:rFonts w:ascii="宋体" w:hAnsi="宋体" w:hint="eastAsia"/>
          <w:color w:val="000000"/>
          <w:sz w:val="24"/>
          <w:szCs w:val="24"/>
        </w:rPr>
        <w:t>赛恩斯环保股份有限公司关于使用募集资金置换预先投入募投项目及已支付发行费用的自筹资金的公告</w:t>
      </w:r>
      <w:r w:rsidR="00782782" w:rsidRPr="00782782">
        <w:rPr>
          <w:rFonts w:ascii="宋体" w:hAnsi="宋体" w:hint="eastAsia"/>
          <w:color w:val="000000"/>
          <w:sz w:val="24"/>
          <w:szCs w:val="24"/>
        </w:rPr>
        <w:t>》（公告编号：2022-00</w:t>
      </w:r>
      <w:r w:rsidR="000A0357">
        <w:rPr>
          <w:rFonts w:ascii="宋体" w:hAnsi="宋体"/>
          <w:color w:val="000000"/>
          <w:sz w:val="24"/>
          <w:szCs w:val="24"/>
        </w:rPr>
        <w:t>4</w:t>
      </w:r>
      <w:r w:rsidR="00782782" w:rsidRPr="00782782">
        <w:rPr>
          <w:rFonts w:ascii="宋体" w:hAnsi="宋体" w:hint="eastAsia"/>
          <w:color w:val="000000"/>
          <w:sz w:val="24"/>
          <w:szCs w:val="24"/>
        </w:rPr>
        <w:t>）</w:t>
      </w:r>
    </w:p>
    <w:p w14:paraId="7A91E507" w14:textId="4A6137B4" w:rsidR="00E1093A" w:rsidRDefault="00E1093A" w:rsidP="00654B6F">
      <w:pPr>
        <w:autoSpaceDE w:val="0"/>
        <w:autoSpaceDN w:val="0"/>
        <w:adjustRightInd w:val="0"/>
        <w:spacing w:line="360" w:lineRule="auto"/>
        <w:ind w:firstLineChars="200" w:firstLine="480"/>
        <w:rPr>
          <w:rFonts w:ascii="宋体" w:hAnsi="宋体"/>
          <w:color w:val="000000"/>
          <w:sz w:val="24"/>
          <w:szCs w:val="24"/>
        </w:rPr>
      </w:pPr>
      <w:r w:rsidRPr="00A753DA">
        <w:rPr>
          <w:rFonts w:ascii="宋体" w:hAnsi="宋体" w:hint="eastAsia"/>
          <w:color w:val="000000"/>
          <w:sz w:val="24"/>
          <w:szCs w:val="24"/>
        </w:rPr>
        <w:t>（</w:t>
      </w:r>
      <w:r w:rsidR="008F5A76">
        <w:rPr>
          <w:rFonts w:ascii="宋体" w:hAnsi="宋体" w:hint="eastAsia"/>
          <w:color w:val="000000"/>
          <w:sz w:val="24"/>
          <w:szCs w:val="24"/>
        </w:rPr>
        <w:t>二</w:t>
      </w:r>
      <w:r w:rsidRPr="00A753DA">
        <w:rPr>
          <w:rFonts w:ascii="宋体" w:hAnsi="宋体" w:hint="eastAsia"/>
          <w:color w:val="000000"/>
          <w:sz w:val="24"/>
          <w:szCs w:val="24"/>
        </w:rPr>
        <w:t>）用募集资金暂时补充流动资金情况。</w:t>
      </w:r>
    </w:p>
    <w:p w14:paraId="41DACB86" w14:textId="7DBCE1C8" w:rsidR="00782782" w:rsidRPr="00A753DA" w:rsidRDefault="00F0293F" w:rsidP="00654B6F">
      <w:pPr>
        <w:autoSpaceDE w:val="0"/>
        <w:autoSpaceDN w:val="0"/>
        <w:adjustRightInd w:val="0"/>
        <w:spacing w:line="360" w:lineRule="auto"/>
        <w:ind w:firstLineChars="200" w:firstLine="480"/>
        <w:rPr>
          <w:rFonts w:ascii="宋体" w:hAnsi="宋体"/>
          <w:color w:val="000000"/>
          <w:sz w:val="24"/>
          <w:szCs w:val="24"/>
        </w:rPr>
      </w:pPr>
      <w:r w:rsidRPr="00F0293F">
        <w:rPr>
          <w:rFonts w:ascii="宋体" w:hAnsi="宋体" w:hint="eastAsia"/>
          <w:color w:val="000000"/>
          <w:sz w:val="24"/>
          <w:szCs w:val="24"/>
        </w:rPr>
        <w:t>截至2022年12月31日，公司不存在使用闲置募集资金暂时补充流动资金的</w:t>
      </w:r>
      <w:r w:rsidRPr="00F0293F">
        <w:rPr>
          <w:rFonts w:ascii="宋体" w:hAnsi="宋体" w:hint="eastAsia"/>
          <w:color w:val="000000"/>
          <w:sz w:val="24"/>
          <w:szCs w:val="24"/>
        </w:rPr>
        <w:lastRenderedPageBreak/>
        <w:t>情况</w:t>
      </w:r>
      <w:r>
        <w:rPr>
          <w:rFonts w:ascii="宋体" w:hAnsi="宋体" w:hint="eastAsia"/>
          <w:color w:val="000000"/>
          <w:sz w:val="24"/>
          <w:szCs w:val="24"/>
        </w:rPr>
        <w:t>。</w:t>
      </w:r>
    </w:p>
    <w:p w14:paraId="4A0C3581" w14:textId="7EBBA48C" w:rsidR="00E1093A" w:rsidRDefault="00E1093A" w:rsidP="00654B6F">
      <w:pPr>
        <w:autoSpaceDE w:val="0"/>
        <w:autoSpaceDN w:val="0"/>
        <w:adjustRightInd w:val="0"/>
        <w:spacing w:line="360" w:lineRule="auto"/>
        <w:ind w:firstLineChars="200" w:firstLine="480"/>
        <w:rPr>
          <w:rFonts w:ascii="宋体" w:hAnsi="宋体"/>
          <w:color w:val="000000"/>
          <w:sz w:val="24"/>
          <w:szCs w:val="24"/>
        </w:rPr>
      </w:pPr>
      <w:r w:rsidRPr="00A753DA">
        <w:rPr>
          <w:rFonts w:ascii="宋体" w:hAnsi="宋体" w:hint="eastAsia"/>
          <w:color w:val="000000"/>
          <w:sz w:val="24"/>
          <w:szCs w:val="24"/>
        </w:rPr>
        <w:t>（</w:t>
      </w:r>
      <w:r w:rsidR="008F5A76">
        <w:rPr>
          <w:rFonts w:ascii="宋体" w:hAnsi="宋体" w:hint="eastAsia"/>
          <w:color w:val="000000"/>
          <w:sz w:val="24"/>
          <w:szCs w:val="24"/>
        </w:rPr>
        <w:t>三</w:t>
      </w:r>
      <w:r w:rsidRPr="00A753DA">
        <w:rPr>
          <w:rFonts w:ascii="宋体" w:hAnsi="宋体" w:hint="eastAsia"/>
          <w:color w:val="000000"/>
          <w:sz w:val="24"/>
          <w:szCs w:val="24"/>
        </w:rPr>
        <w:t>）对闲置募集资金进行现金管理，投资相关产品情况。</w:t>
      </w:r>
    </w:p>
    <w:p w14:paraId="214608DA" w14:textId="01D401E4" w:rsidR="004A72EA" w:rsidRDefault="0011158B" w:rsidP="00181FE6">
      <w:pPr>
        <w:autoSpaceDE w:val="0"/>
        <w:autoSpaceDN w:val="0"/>
        <w:adjustRightInd w:val="0"/>
        <w:spacing w:line="360" w:lineRule="auto"/>
        <w:ind w:firstLineChars="200" w:firstLine="480"/>
        <w:rPr>
          <w:rFonts w:ascii="宋体" w:hAnsi="宋体"/>
          <w:color w:val="000000"/>
          <w:sz w:val="24"/>
          <w:szCs w:val="24"/>
        </w:rPr>
      </w:pPr>
      <w:r w:rsidRPr="0011158B">
        <w:rPr>
          <w:rFonts w:ascii="宋体" w:hAnsi="宋体" w:hint="eastAsia"/>
          <w:color w:val="000000"/>
          <w:sz w:val="24"/>
          <w:szCs w:val="24"/>
        </w:rPr>
        <w:t>公司于2022年12月20日召开第二届董事会第十七次会议、第二届监事会第十一次会议，审议通过了《关于使用部分暂时闲置募集资金进行现金管理的议案》，同意公司及实施</w:t>
      </w:r>
      <w:proofErr w:type="gramStart"/>
      <w:r w:rsidRPr="0011158B">
        <w:rPr>
          <w:rFonts w:ascii="宋体" w:hAnsi="宋体" w:hint="eastAsia"/>
          <w:color w:val="000000"/>
          <w:sz w:val="24"/>
          <w:szCs w:val="24"/>
        </w:rPr>
        <w:t>募投项目</w:t>
      </w:r>
      <w:proofErr w:type="gramEnd"/>
      <w:r w:rsidRPr="0011158B">
        <w:rPr>
          <w:rFonts w:ascii="宋体" w:hAnsi="宋体" w:hint="eastAsia"/>
          <w:color w:val="000000"/>
          <w:sz w:val="24"/>
          <w:szCs w:val="24"/>
        </w:rPr>
        <w:t>的子公司长沙赛恩斯环保工程技术有限公司在确保不影响募集资金投资项目建设和募集资金使用以及公司正常业务开展的情况下,使用最高余额不超过人民币2.5亿元（含本数）的部分暂时闲置募集资金购买安全性高、流动性好、期限不超过12个月（含）的投资产品（包括但不限于保本型理财产品、结构性存款、大额存单、定期存款、通知存款、协定存款等）。在上述额度内,资金可以滚动使用,使用期限自董事会审议通过之日起12个月内有效</w:t>
      </w:r>
      <w:r w:rsidR="00782782" w:rsidRPr="00782782">
        <w:rPr>
          <w:rFonts w:ascii="宋体" w:hAnsi="宋体" w:hint="eastAsia"/>
          <w:color w:val="000000"/>
          <w:sz w:val="24"/>
          <w:szCs w:val="24"/>
        </w:rPr>
        <w:t>。具体内容详见公司于2022年</w:t>
      </w:r>
      <w:r w:rsidR="004A72EA">
        <w:rPr>
          <w:rFonts w:ascii="宋体" w:hAnsi="宋体"/>
          <w:color w:val="000000"/>
          <w:sz w:val="24"/>
          <w:szCs w:val="24"/>
        </w:rPr>
        <w:t>12</w:t>
      </w:r>
      <w:r w:rsidR="00782782" w:rsidRPr="00782782">
        <w:rPr>
          <w:rFonts w:ascii="宋体" w:hAnsi="宋体" w:hint="eastAsia"/>
          <w:color w:val="000000"/>
          <w:sz w:val="24"/>
          <w:szCs w:val="24"/>
        </w:rPr>
        <w:t>月</w:t>
      </w:r>
      <w:r w:rsidR="004A72EA">
        <w:rPr>
          <w:rFonts w:ascii="宋体" w:hAnsi="宋体"/>
          <w:color w:val="000000"/>
          <w:sz w:val="24"/>
          <w:szCs w:val="24"/>
        </w:rPr>
        <w:t>21</w:t>
      </w:r>
      <w:r w:rsidR="00782782" w:rsidRPr="00782782">
        <w:rPr>
          <w:rFonts w:ascii="宋体" w:hAnsi="宋体" w:hint="eastAsia"/>
          <w:color w:val="000000"/>
          <w:sz w:val="24"/>
          <w:szCs w:val="24"/>
        </w:rPr>
        <w:t>日在上海证券交易所网站披露的《</w:t>
      </w:r>
      <w:r w:rsidR="004A72EA" w:rsidRPr="004A72EA">
        <w:rPr>
          <w:rFonts w:ascii="宋体" w:hAnsi="宋体" w:hint="eastAsia"/>
          <w:color w:val="000000"/>
          <w:sz w:val="24"/>
          <w:szCs w:val="24"/>
        </w:rPr>
        <w:t>赛恩斯环保股份有限公司关于使用部分暂时闲置募集资金进行现金管理的公告</w:t>
      </w:r>
      <w:r w:rsidR="004A72EA">
        <w:rPr>
          <w:rFonts w:ascii="宋体" w:hAnsi="宋体" w:hint="eastAsia"/>
          <w:color w:val="000000"/>
          <w:sz w:val="24"/>
          <w:szCs w:val="24"/>
        </w:rPr>
        <w:t>》</w:t>
      </w:r>
      <w:r w:rsidR="00782782" w:rsidRPr="00782782">
        <w:rPr>
          <w:rFonts w:ascii="宋体" w:hAnsi="宋体" w:hint="eastAsia"/>
          <w:color w:val="000000"/>
          <w:sz w:val="24"/>
          <w:szCs w:val="24"/>
        </w:rPr>
        <w:t>（公告编号：2022-002）。</w:t>
      </w:r>
    </w:p>
    <w:p w14:paraId="1AAB035A" w14:textId="66B80E7E" w:rsidR="00782782" w:rsidRDefault="00E1093A" w:rsidP="00654B6F">
      <w:pPr>
        <w:autoSpaceDE w:val="0"/>
        <w:autoSpaceDN w:val="0"/>
        <w:adjustRightInd w:val="0"/>
        <w:spacing w:line="360" w:lineRule="auto"/>
        <w:ind w:firstLineChars="200" w:firstLine="480"/>
        <w:rPr>
          <w:rFonts w:ascii="宋体" w:hAnsi="宋体"/>
          <w:color w:val="000000"/>
          <w:sz w:val="24"/>
          <w:szCs w:val="24"/>
        </w:rPr>
      </w:pPr>
      <w:r w:rsidRPr="00A753DA">
        <w:rPr>
          <w:rFonts w:ascii="宋体" w:hAnsi="宋体" w:hint="eastAsia"/>
          <w:color w:val="000000"/>
          <w:sz w:val="24"/>
          <w:szCs w:val="24"/>
        </w:rPr>
        <w:t>（</w:t>
      </w:r>
      <w:r w:rsidR="008F5A76">
        <w:rPr>
          <w:rFonts w:ascii="宋体" w:hAnsi="宋体" w:hint="eastAsia"/>
          <w:color w:val="000000"/>
          <w:sz w:val="24"/>
          <w:szCs w:val="24"/>
        </w:rPr>
        <w:t>四</w:t>
      </w:r>
      <w:r w:rsidRPr="00A753DA">
        <w:rPr>
          <w:rFonts w:ascii="宋体" w:hAnsi="宋体" w:hint="eastAsia"/>
          <w:color w:val="000000"/>
          <w:sz w:val="24"/>
          <w:szCs w:val="24"/>
        </w:rPr>
        <w:t>）用超募资金永久补充流动资金情况。</w:t>
      </w:r>
    </w:p>
    <w:p w14:paraId="241463AB" w14:textId="71322189" w:rsidR="0011158B" w:rsidRDefault="0011158B" w:rsidP="00654B6F">
      <w:pPr>
        <w:autoSpaceDE w:val="0"/>
        <w:autoSpaceDN w:val="0"/>
        <w:adjustRightInd w:val="0"/>
        <w:spacing w:line="360" w:lineRule="auto"/>
        <w:ind w:firstLineChars="200" w:firstLine="480"/>
        <w:rPr>
          <w:rFonts w:ascii="宋体" w:hAnsi="宋体"/>
          <w:color w:val="000000"/>
          <w:sz w:val="24"/>
          <w:szCs w:val="24"/>
        </w:rPr>
      </w:pPr>
      <w:r w:rsidRPr="0011158B">
        <w:rPr>
          <w:rFonts w:ascii="宋体" w:hAnsi="宋体" w:hint="eastAsia"/>
          <w:color w:val="000000"/>
          <w:sz w:val="24"/>
          <w:szCs w:val="24"/>
        </w:rPr>
        <w:t>公司于2022年12月20日召开第二届董事会第十七次会议、第二届监事会第十一次会议，审议通过了《关于使用部分超募资金永久补充流动资金的议案》，同意使用超募资金4,477.34万元永久补充流动资金</w:t>
      </w:r>
      <w:r w:rsidR="00FB31F6">
        <w:rPr>
          <w:rFonts w:ascii="宋体" w:hAnsi="宋体" w:hint="eastAsia"/>
          <w:color w:val="000000"/>
          <w:sz w:val="24"/>
          <w:szCs w:val="24"/>
        </w:rPr>
        <w:t>。</w:t>
      </w:r>
      <w:r w:rsidR="00782782" w:rsidRPr="00782782">
        <w:rPr>
          <w:rFonts w:ascii="宋体" w:hAnsi="宋体" w:hint="eastAsia"/>
          <w:color w:val="000000"/>
          <w:sz w:val="24"/>
          <w:szCs w:val="24"/>
        </w:rPr>
        <w:t>具体内容详见公司于2022年1</w:t>
      </w:r>
      <w:r w:rsidR="00B5342B">
        <w:rPr>
          <w:rFonts w:ascii="宋体" w:hAnsi="宋体"/>
          <w:color w:val="000000"/>
          <w:sz w:val="24"/>
          <w:szCs w:val="24"/>
        </w:rPr>
        <w:t>2</w:t>
      </w:r>
      <w:r w:rsidR="00782782" w:rsidRPr="00782782">
        <w:rPr>
          <w:rFonts w:ascii="宋体" w:hAnsi="宋体" w:hint="eastAsia"/>
          <w:color w:val="000000"/>
          <w:sz w:val="24"/>
          <w:szCs w:val="24"/>
        </w:rPr>
        <w:t>月</w:t>
      </w:r>
      <w:r w:rsidR="00B5342B">
        <w:rPr>
          <w:rFonts w:ascii="宋体" w:hAnsi="宋体"/>
          <w:color w:val="000000"/>
          <w:sz w:val="24"/>
          <w:szCs w:val="24"/>
        </w:rPr>
        <w:t>21</w:t>
      </w:r>
      <w:r w:rsidR="00782782" w:rsidRPr="00782782">
        <w:rPr>
          <w:rFonts w:ascii="宋体" w:hAnsi="宋体" w:hint="eastAsia"/>
          <w:color w:val="000000"/>
          <w:sz w:val="24"/>
          <w:szCs w:val="24"/>
        </w:rPr>
        <w:t>日刊载于上海证券交易所网站披露的《</w:t>
      </w:r>
      <w:r w:rsidR="00B5342B" w:rsidRPr="00B5342B">
        <w:rPr>
          <w:rFonts w:ascii="宋体" w:hAnsi="宋体" w:hint="eastAsia"/>
          <w:color w:val="000000"/>
          <w:sz w:val="24"/>
          <w:szCs w:val="24"/>
        </w:rPr>
        <w:t>赛恩斯环保股份有限公司关于使用部分超募资金永久补充流动资金的公告</w:t>
      </w:r>
      <w:r w:rsidR="00782782" w:rsidRPr="00782782">
        <w:rPr>
          <w:rFonts w:ascii="宋体" w:hAnsi="宋体" w:hint="eastAsia"/>
          <w:color w:val="000000"/>
          <w:sz w:val="24"/>
          <w:szCs w:val="24"/>
        </w:rPr>
        <w:t>》公告编号：202</w:t>
      </w:r>
      <w:r w:rsidR="00B5342B">
        <w:rPr>
          <w:rFonts w:ascii="宋体" w:hAnsi="宋体"/>
          <w:color w:val="000000"/>
          <w:sz w:val="24"/>
          <w:szCs w:val="24"/>
        </w:rPr>
        <w:t>2</w:t>
      </w:r>
      <w:r w:rsidR="00782782" w:rsidRPr="00782782">
        <w:rPr>
          <w:rFonts w:ascii="宋体" w:hAnsi="宋体" w:hint="eastAsia"/>
          <w:color w:val="000000"/>
          <w:sz w:val="24"/>
          <w:szCs w:val="24"/>
        </w:rPr>
        <w:t>-00</w:t>
      </w:r>
      <w:r w:rsidR="00B5342B">
        <w:rPr>
          <w:rFonts w:ascii="宋体" w:hAnsi="宋体"/>
          <w:color w:val="000000"/>
          <w:sz w:val="24"/>
          <w:szCs w:val="24"/>
        </w:rPr>
        <w:t>5</w:t>
      </w:r>
      <w:r w:rsidR="00782782" w:rsidRPr="00782782">
        <w:rPr>
          <w:rFonts w:ascii="宋体" w:hAnsi="宋体" w:hint="eastAsia"/>
          <w:color w:val="000000"/>
          <w:sz w:val="24"/>
          <w:szCs w:val="24"/>
        </w:rPr>
        <w:t>）。</w:t>
      </w:r>
    </w:p>
    <w:p w14:paraId="4C9C2691" w14:textId="2FECA220" w:rsidR="00B5342B" w:rsidRDefault="00F0293F" w:rsidP="00654B6F">
      <w:pPr>
        <w:autoSpaceDE w:val="0"/>
        <w:autoSpaceDN w:val="0"/>
        <w:adjustRightInd w:val="0"/>
        <w:spacing w:line="360" w:lineRule="auto"/>
        <w:ind w:firstLineChars="200" w:firstLine="480"/>
        <w:rPr>
          <w:rFonts w:ascii="宋体" w:hAnsi="宋体"/>
          <w:color w:val="000000"/>
          <w:sz w:val="24"/>
          <w:szCs w:val="24"/>
        </w:rPr>
      </w:pPr>
      <w:r w:rsidRPr="00F0293F">
        <w:rPr>
          <w:rFonts w:ascii="宋体" w:hAnsi="宋体" w:hint="eastAsia"/>
          <w:color w:val="000000"/>
          <w:sz w:val="24"/>
          <w:szCs w:val="24"/>
        </w:rPr>
        <w:t>截至2022年12月31日，公司不存在使用</w:t>
      </w:r>
      <w:r>
        <w:rPr>
          <w:rFonts w:ascii="宋体" w:hAnsi="宋体" w:hint="eastAsia"/>
          <w:color w:val="000000"/>
          <w:sz w:val="24"/>
          <w:szCs w:val="24"/>
        </w:rPr>
        <w:t>超募</w:t>
      </w:r>
      <w:r w:rsidRPr="00F0293F">
        <w:rPr>
          <w:rFonts w:ascii="宋体" w:hAnsi="宋体" w:hint="eastAsia"/>
          <w:color w:val="000000"/>
          <w:sz w:val="24"/>
          <w:szCs w:val="24"/>
        </w:rPr>
        <w:t>资金</w:t>
      </w:r>
      <w:r w:rsidRPr="00782782">
        <w:rPr>
          <w:rFonts w:ascii="宋体" w:hAnsi="宋体" w:hint="eastAsia"/>
          <w:color w:val="000000"/>
          <w:sz w:val="24"/>
          <w:szCs w:val="24"/>
        </w:rPr>
        <w:t>用于补充流动资金</w:t>
      </w:r>
      <w:r w:rsidRPr="00F0293F">
        <w:rPr>
          <w:rFonts w:ascii="宋体" w:hAnsi="宋体" w:hint="eastAsia"/>
          <w:color w:val="000000"/>
          <w:sz w:val="24"/>
          <w:szCs w:val="24"/>
        </w:rPr>
        <w:t>的情况。</w:t>
      </w:r>
    </w:p>
    <w:p w14:paraId="6D496ABC" w14:textId="281DB080" w:rsidR="00E1093A" w:rsidRDefault="00E1093A" w:rsidP="00654B6F">
      <w:pPr>
        <w:autoSpaceDE w:val="0"/>
        <w:autoSpaceDN w:val="0"/>
        <w:adjustRightInd w:val="0"/>
        <w:spacing w:line="360" w:lineRule="auto"/>
        <w:ind w:firstLineChars="200" w:firstLine="480"/>
        <w:rPr>
          <w:rFonts w:ascii="宋体" w:hAnsi="宋体"/>
          <w:color w:val="000000"/>
          <w:sz w:val="24"/>
          <w:szCs w:val="24"/>
        </w:rPr>
      </w:pPr>
      <w:r w:rsidRPr="00A753DA">
        <w:rPr>
          <w:rFonts w:ascii="宋体" w:hAnsi="宋体" w:hint="eastAsia"/>
          <w:color w:val="000000"/>
          <w:sz w:val="24"/>
          <w:szCs w:val="24"/>
        </w:rPr>
        <w:t>（</w:t>
      </w:r>
      <w:r w:rsidR="008F5A76">
        <w:rPr>
          <w:rFonts w:ascii="宋体" w:hAnsi="宋体" w:hint="eastAsia"/>
          <w:color w:val="000000"/>
          <w:sz w:val="24"/>
          <w:szCs w:val="24"/>
        </w:rPr>
        <w:t>五</w:t>
      </w:r>
      <w:r w:rsidRPr="00A753DA">
        <w:rPr>
          <w:rFonts w:ascii="宋体" w:hAnsi="宋体" w:hint="eastAsia"/>
          <w:color w:val="000000"/>
          <w:sz w:val="24"/>
          <w:szCs w:val="24"/>
        </w:rPr>
        <w:t>）超募资金用于在建项目及新项目（包括收购资产等）的情况。</w:t>
      </w:r>
    </w:p>
    <w:p w14:paraId="4FBEED14" w14:textId="225C659F" w:rsidR="00782782" w:rsidRPr="00B5342B" w:rsidRDefault="00B5342B" w:rsidP="00654B6F">
      <w:pPr>
        <w:autoSpaceDE w:val="0"/>
        <w:autoSpaceDN w:val="0"/>
        <w:adjustRightInd w:val="0"/>
        <w:spacing w:line="360" w:lineRule="auto"/>
        <w:ind w:firstLineChars="200" w:firstLine="480"/>
        <w:rPr>
          <w:rFonts w:ascii="宋体" w:hAnsi="宋体"/>
          <w:color w:val="000000"/>
          <w:sz w:val="24"/>
          <w:szCs w:val="24"/>
        </w:rPr>
      </w:pPr>
      <w:r w:rsidRPr="00782782">
        <w:rPr>
          <w:rFonts w:ascii="宋体" w:hAnsi="宋体" w:hint="eastAsia"/>
          <w:color w:val="000000"/>
          <w:sz w:val="24"/>
          <w:szCs w:val="24"/>
        </w:rPr>
        <w:t>截至2022年12月31日，公司不存在使用</w:t>
      </w:r>
      <w:r w:rsidRPr="00A753DA">
        <w:rPr>
          <w:rFonts w:ascii="宋体" w:hAnsi="宋体" w:hint="eastAsia"/>
          <w:color w:val="000000"/>
          <w:sz w:val="24"/>
          <w:szCs w:val="24"/>
        </w:rPr>
        <w:t>超募资金用于在建项目及新项目（包括收购资产等）的情况</w:t>
      </w:r>
      <w:r>
        <w:rPr>
          <w:rFonts w:ascii="宋体" w:hAnsi="宋体" w:hint="eastAsia"/>
          <w:color w:val="000000"/>
          <w:sz w:val="24"/>
          <w:szCs w:val="24"/>
        </w:rPr>
        <w:t>。</w:t>
      </w:r>
    </w:p>
    <w:p w14:paraId="34909BEB" w14:textId="6D8E5CEB" w:rsidR="00E1093A" w:rsidRDefault="00E1093A" w:rsidP="00654B6F">
      <w:pPr>
        <w:autoSpaceDE w:val="0"/>
        <w:autoSpaceDN w:val="0"/>
        <w:adjustRightInd w:val="0"/>
        <w:spacing w:line="360" w:lineRule="auto"/>
        <w:ind w:firstLineChars="200" w:firstLine="480"/>
        <w:rPr>
          <w:rFonts w:ascii="宋体" w:hAnsi="宋体"/>
          <w:color w:val="000000"/>
          <w:sz w:val="24"/>
          <w:szCs w:val="24"/>
        </w:rPr>
      </w:pPr>
      <w:r w:rsidRPr="00A753DA">
        <w:rPr>
          <w:rFonts w:ascii="宋体" w:hAnsi="宋体" w:hint="eastAsia"/>
          <w:color w:val="000000"/>
          <w:sz w:val="24"/>
          <w:szCs w:val="24"/>
        </w:rPr>
        <w:t>（</w:t>
      </w:r>
      <w:r w:rsidR="008F5A76">
        <w:rPr>
          <w:rFonts w:ascii="宋体" w:hAnsi="宋体" w:hint="eastAsia"/>
          <w:color w:val="000000"/>
          <w:sz w:val="24"/>
          <w:szCs w:val="24"/>
        </w:rPr>
        <w:t>六</w:t>
      </w:r>
      <w:r w:rsidRPr="00A753DA">
        <w:rPr>
          <w:rFonts w:ascii="宋体" w:hAnsi="宋体" w:hint="eastAsia"/>
          <w:color w:val="000000"/>
          <w:sz w:val="24"/>
          <w:szCs w:val="24"/>
        </w:rPr>
        <w:t>）节余募集资金使用情况。</w:t>
      </w:r>
    </w:p>
    <w:p w14:paraId="71D732EE" w14:textId="46566497" w:rsidR="00B5342B" w:rsidRPr="00A753DA" w:rsidRDefault="00B5342B" w:rsidP="00654B6F">
      <w:pPr>
        <w:autoSpaceDE w:val="0"/>
        <w:autoSpaceDN w:val="0"/>
        <w:adjustRightInd w:val="0"/>
        <w:spacing w:line="360" w:lineRule="auto"/>
        <w:ind w:firstLineChars="200" w:firstLine="480"/>
        <w:rPr>
          <w:rFonts w:ascii="宋体" w:hAnsi="宋体"/>
          <w:color w:val="000000"/>
          <w:sz w:val="24"/>
          <w:szCs w:val="24"/>
        </w:rPr>
      </w:pPr>
      <w:r w:rsidRPr="00782782">
        <w:rPr>
          <w:rFonts w:ascii="宋体" w:hAnsi="宋体" w:hint="eastAsia"/>
          <w:color w:val="000000"/>
          <w:sz w:val="24"/>
          <w:szCs w:val="24"/>
        </w:rPr>
        <w:t>截至2022年12月31日，</w:t>
      </w:r>
      <w:r>
        <w:rPr>
          <w:rFonts w:ascii="宋体" w:hAnsi="宋体" w:hint="eastAsia"/>
          <w:color w:val="000000"/>
          <w:sz w:val="24"/>
          <w:szCs w:val="24"/>
        </w:rPr>
        <w:t>公司</w:t>
      </w:r>
      <w:proofErr w:type="gramStart"/>
      <w:r>
        <w:rPr>
          <w:rFonts w:ascii="宋体" w:hAnsi="宋体" w:hint="eastAsia"/>
          <w:color w:val="000000"/>
          <w:sz w:val="24"/>
          <w:szCs w:val="24"/>
        </w:rPr>
        <w:t>募投项目</w:t>
      </w:r>
      <w:proofErr w:type="gramEnd"/>
      <w:r>
        <w:rPr>
          <w:rFonts w:ascii="宋体" w:hAnsi="宋体" w:hint="eastAsia"/>
          <w:color w:val="000000"/>
          <w:sz w:val="24"/>
          <w:szCs w:val="24"/>
        </w:rPr>
        <w:t>正处在建设中，不存在</w:t>
      </w:r>
      <w:r w:rsidRPr="00A753DA">
        <w:rPr>
          <w:rFonts w:ascii="宋体" w:hAnsi="宋体" w:hint="eastAsia"/>
          <w:color w:val="000000"/>
          <w:sz w:val="24"/>
          <w:szCs w:val="24"/>
        </w:rPr>
        <w:t>节余募集资金使用</w:t>
      </w:r>
      <w:r>
        <w:rPr>
          <w:rFonts w:ascii="宋体" w:hAnsi="宋体" w:hint="eastAsia"/>
          <w:color w:val="000000"/>
          <w:sz w:val="24"/>
          <w:szCs w:val="24"/>
        </w:rPr>
        <w:t>的</w:t>
      </w:r>
      <w:r w:rsidRPr="00A753DA">
        <w:rPr>
          <w:rFonts w:ascii="宋体" w:hAnsi="宋体" w:hint="eastAsia"/>
          <w:color w:val="000000"/>
          <w:sz w:val="24"/>
          <w:szCs w:val="24"/>
        </w:rPr>
        <w:t>情况</w:t>
      </w:r>
    </w:p>
    <w:p w14:paraId="2ABA5652" w14:textId="64162C15" w:rsidR="00E1093A" w:rsidRPr="00A753DA" w:rsidRDefault="00E1093A" w:rsidP="00654B6F">
      <w:pPr>
        <w:autoSpaceDE w:val="0"/>
        <w:autoSpaceDN w:val="0"/>
        <w:adjustRightInd w:val="0"/>
        <w:spacing w:line="360" w:lineRule="auto"/>
        <w:ind w:firstLineChars="200" w:firstLine="480"/>
        <w:rPr>
          <w:rFonts w:ascii="宋体" w:hAnsi="宋体"/>
          <w:color w:val="000000"/>
          <w:sz w:val="24"/>
          <w:szCs w:val="24"/>
        </w:rPr>
      </w:pPr>
      <w:r w:rsidRPr="00A753DA">
        <w:rPr>
          <w:rFonts w:ascii="宋体" w:hAnsi="宋体" w:hint="eastAsia"/>
          <w:color w:val="000000"/>
          <w:sz w:val="24"/>
          <w:szCs w:val="24"/>
        </w:rPr>
        <w:t>（</w:t>
      </w:r>
      <w:r w:rsidR="008F5A76">
        <w:rPr>
          <w:rFonts w:ascii="宋体" w:hAnsi="宋体" w:hint="eastAsia"/>
          <w:color w:val="000000"/>
          <w:sz w:val="24"/>
          <w:szCs w:val="24"/>
        </w:rPr>
        <w:t>七</w:t>
      </w:r>
      <w:r w:rsidRPr="00A753DA">
        <w:rPr>
          <w:rFonts w:ascii="宋体" w:hAnsi="宋体" w:hint="eastAsia"/>
          <w:color w:val="000000"/>
          <w:sz w:val="24"/>
          <w:szCs w:val="24"/>
        </w:rPr>
        <w:t>）募集资金使用的其他情况。</w:t>
      </w:r>
    </w:p>
    <w:p w14:paraId="30E0E6AD" w14:textId="05E9AC10" w:rsidR="00D93765" w:rsidRPr="00A753DA" w:rsidRDefault="00D93765" w:rsidP="00A875FE">
      <w:pPr>
        <w:autoSpaceDE w:val="0"/>
        <w:autoSpaceDN w:val="0"/>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公司于</w:t>
      </w:r>
      <w:r w:rsidRPr="00782782">
        <w:rPr>
          <w:rFonts w:ascii="宋体" w:hAnsi="宋体" w:hint="eastAsia"/>
          <w:color w:val="000000"/>
          <w:sz w:val="24"/>
          <w:szCs w:val="24"/>
        </w:rPr>
        <w:t>2022年1</w:t>
      </w:r>
      <w:r>
        <w:rPr>
          <w:rFonts w:ascii="宋体" w:hAnsi="宋体"/>
          <w:color w:val="000000"/>
          <w:sz w:val="24"/>
          <w:szCs w:val="24"/>
        </w:rPr>
        <w:t>2</w:t>
      </w:r>
      <w:r w:rsidRPr="00782782">
        <w:rPr>
          <w:rFonts w:ascii="宋体" w:hAnsi="宋体" w:hint="eastAsia"/>
          <w:color w:val="000000"/>
          <w:sz w:val="24"/>
          <w:szCs w:val="24"/>
        </w:rPr>
        <w:t>月</w:t>
      </w:r>
      <w:r>
        <w:rPr>
          <w:rFonts w:ascii="宋体" w:hAnsi="宋体"/>
          <w:color w:val="000000"/>
          <w:sz w:val="24"/>
          <w:szCs w:val="24"/>
        </w:rPr>
        <w:t>20</w:t>
      </w:r>
      <w:r w:rsidRPr="00782782">
        <w:rPr>
          <w:rFonts w:ascii="宋体" w:hAnsi="宋体" w:hint="eastAsia"/>
          <w:color w:val="000000"/>
          <w:sz w:val="24"/>
          <w:szCs w:val="24"/>
        </w:rPr>
        <w:t>日</w:t>
      </w:r>
      <w:r>
        <w:rPr>
          <w:rFonts w:ascii="宋体" w:hAnsi="宋体" w:hint="eastAsia"/>
          <w:color w:val="000000"/>
          <w:sz w:val="24"/>
          <w:szCs w:val="24"/>
        </w:rPr>
        <w:t>召开了第</w:t>
      </w:r>
      <w:r w:rsidRPr="00CB0975">
        <w:rPr>
          <w:rFonts w:ascii="宋体" w:hAnsi="宋体" w:hint="eastAsia"/>
          <w:color w:val="000000"/>
          <w:sz w:val="24"/>
          <w:szCs w:val="24"/>
        </w:rPr>
        <w:t>二届董事会第十七次会议、第二届监事会第十一次会议</w:t>
      </w:r>
      <w:r>
        <w:rPr>
          <w:rFonts w:ascii="宋体" w:hAnsi="宋体" w:hint="eastAsia"/>
          <w:color w:val="000000"/>
          <w:sz w:val="24"/>
          <w:szCs w:val="24"/>
        </w:rPr>
        <w:t>，</w:t>
      </w:r>
      <w:r w:rsidRPr="00782782">
        <w:rPr>
          <w:rFonts w:ascii="宋体" w:hAnsi="宋体" w:hint="eastAsia"/>
          <w:color w:val="000000"/>
          <w:sz w:val="24"/>
          <w:szCs w:val="24"/>
        </w:rPr>
        <w:t>审议通过了《</w:t>
      </w:r>
      <w:r>
        <w:rPr>
          <w:rFonts w:ascii="宋体" w:hAnsi="宋体" w:hint="eastAsia"/>
          <w:spacing w:val="-3"/>
          <w:sz w:val="24"/>
          <w:szCs w:val="24"/>
        </w:rPr>
        <w:t>关于使用募集资金向全资子公司提供借款实施募</w:t>
      </w:r>
      <w:r>
        <w:rPr>
          <w:rFonts w:ascii="宋体" w:hAnsi="宋体" w:hint="eastAsia"/>
          <w:spacing w:val="-3"/>
          <w:sz w:val="24"/>
          <w:szCs w:val="24"/>
        </w:rPr>
        <w:lastRenderedPageBreak/>
        <w:t>投项目的议案</w:t>
      </w:r>
      <w:r w:rsidRPr="00782782">
        <w:rPr>
          <w:rFonts w:ascii="宋体" w:hAnsi="宋体" w:hint="eastAsia"/>
          <w:color w:val="000000"/>
          <w:sz w:val="24"/>
          <w:szCs w:val="24"/>
        </w:rPr>
        <w:t>》，</w:t>
      </w:r>
      <w:r w:rsidR="00A875FE" w:rsidRPr="00A875FE">
        <w:rPr>
          <w:rFonts w:ascii="宋体" w:hAnsi="宋体" w:hint="eastAsia"/>
          <w:color w:val="000000"/>
          <w:sz w:val="24"/>
          <w:szCs w:val="24"/>
        </w:rPr>
        <w:t>在不</w:t>
      </w:r>
      <w:proofErr w:type="gramStart"/>
      <w:r w:rsidR="00A875FE" w:rsidRPr="00A875FE">
        <w:rPr>
          <w:rFonts w:ascii="宋体" w:hAnsi="宋体" w:hint="eastAsia"/>
          <w:color w:val="000000"/>
          <w:sz w:val="24"/>
          <w:szCs w:val="24"/>
        </w:rPr>
        <w:t>超过募投项目</w:t>
      </w:r>
      <w:proofErr w:type="gramEnd"/>
      <w:r w:rsidR="00A875FE" w:rsidRPr="00A875FE">
        <w:rPr>
          <w:rFonts w:ascii="宋体" w:hAnsi="宋体" w:hint="eastAsia"/>
          <w:color w:val="000000"/>
          <w:sz w:val="24"/>
          <w:szCs w:val="24"/>
        </w:rPr>
        <w:t>“长沙赛恩斯环保工程技术有限公司成套环保设备生产基地建设项目” 投入募集资金金额的情况下</w:t>
      </w:r>
      <w:r w:rsidR="00A875FE">
        <w:rPr>
          <w:rFonts w:ascii="宋体" w:hAnsi="宋体" w:hint="eastAsia"/>
          <w:color w:val="000000"/>
          <w:sz w:val="24"/>
          <w:szCs w:val="24"/>
        </w:rPr>
        <w:t>，</w:t>
      </w:r>
      <w:r w:rsidR="00250168">
        <w:rPr>
          <w:rFonts w:ascii="宋体" w:hAnsi="宋体" w:hint="eastAsia"/>
          <w:color w:val="000000"/>
          <w:sz w:val="24"/>
          <w:szCs w:val="24"/>
        </w:rPr>
        <w:t>公司拟</w:t>
      </w:r>
      <w:r w:rsidRPr="00D93765">
        <w:rPr>
          <w:rFonts w:ascii="宋体" w:hAnsi="宋体" w:hint="eastAsia"/>
          <w:color w:val="000000"/>
          <w:sz w:val="24"/>
          <w:szCs w:val="24"/>
        </w:rPr>
        <w:t>通过提供无息借款的方式将募集资金划转至该</w:t>
      </w:r>
      <w:proofErr w:type="gramStart"/>
      <w:r w:rsidRPr="00D93765">
        <w:rPr>
          <w:rFonts w:ascii="宋体" w:hAnsi="宋体" w:hint="eastAsia"/>
          <w:color w:val="000000"/>
          <w:sz w:val="24"/>
          <w:szCs w:val="24"/>
        </w:rPr>
        <w:t>募投项目</w:t>
      </w:r>
      <w:proofErr w:type="gramEnd"/>
      <w:r w:rsidRPr="00D93765">
        <w:rPr>
          <w:rFonts w:ascii="宋体" w:hAnsi="宋体" w:hint="eastAsia"/>
          <w:color w:val="000000"/>
          <w:sz w:val="24"/>
          <w:szCs w:val="24"/>
        </w:rPr>
        <w:t>实施主体所开设的募集资金专用账户，即公司的全资子公司长沙赛恩斯环保工程技术有限公司（以下简称“赛恩斯工程”）的募集资金专用账户，并授权公司管理</w:t>
      </w:r>
      <w:proofErr w:type="gramStart"/>
      <w:r w:rsidRPr="00D93765">
        <w:rPr>
          <w:rFonts w:ascii="宋体" w:hAnsi="宋体" w:hint="eastAsia"/>
          <w:color w:val="000000"/>
          <w:sz w:val="24"/>
          <w:szCs w:val="24"/>
        </w:rPr>
        <w:t>层负责</w:t>
      </w:r>
      <w:proofErr w:type="gramEnd"/>
      <w:r w:rsidRPr="00D93765">
        <w:rPr>
          <w:rFonts w:ascii="宋体" w:hAnsi="宋体" w:hint="eastAsia"/>
          <w:color w:val="000000"/>
          <w:sz w:val="24"/>
          <w:szCs w:val="24"/>
        </w:rPr>
        <w:t>借款手续办理以及后续的管理工作</w:t>
      </w:r>
      <w:r>
        <w:rPr>
          <w:rFonts w:ascii="宋体" w:hAnsi="宋体" w:hint="eastAsia"/>
          <w:color w:val="000000"/>
          <w:sz w:val="24"/>
          <w:szCs w:val="24"/>
        </w:rPr>
        <w:t>，</w:t>
      </w:r>
      <w:r w:rsidRPr="00D93765">
        <w:rPr>
          <w:rFonts w:ascii="宋体" w:hAnsi="宋体" w:hint="eastAsia"/>
          <w:color w:val="000000"/>
          <w:sz w:val="24"/>
          <w:szCs w:val="24"/>
        </w:rPr>
        <w:t>借款期限自实际借款之日起18个月，根据项目实际情况，到期后可续借或提前偿还</w:t>
      </w:r>
      <w:r>
        <w:rPr>
          <w:rFonts w:ascii="宋体" w:hAnsi="宋体" w:hint="eastAsia"/>
          <w:color w:val="000000"/>
          <w:sz w:val="24"/>
          <w:szCs w:val="24"/>
        </w:rPr>
        <w:t>，上述资金已于2</w:t>
      </w:r>
      <w:r>
        <w:rPr>
          <w:rFonts w:ascii="宋体" w:hAnsi="宋体"/>
          <w:color w:val="000000"/>
          <w:sz w:val="24"/>
          <w:szCs w:val="24"/>
        </w:rPr>
        <w:t>022</w:t>
      </w:r>
      <w:r>
        <w:rPr>
          <w:rFonts w:ascii="宋体" w:hAnsi="宋体" w:hint="eastAsia"/>
          <w:color w:val="000000"/>
          <w:sz w:val="24"/>
          <w:szCs w:val="24"/>
        </w:rPr>
        <w:t>年</w:t>
      </w:r>
      <w:r w:rsidR="00F0293F">
        <w:rPr>
          <w:rFonts w:ascii="宋体" w:hAnsi="宋体" w:hint="eastAsia"/>
          <w:color w:val="000000"/>
          <w:sz w:val="24"/>
          <w:szCs w:val="24"/>
        </w:rPr>
        <w:t>1</w:t>
      </w:r>
      <w:r w:rsidR="00F0293F">
        <w:rPr>
          <w:rFonts w:ascii="宋体" w:hAnsi="宋体"/>
          <w:color w:val="000000"/>
          <w:sz w:val="24"/>
          <w:szCs w:val="24"/>
        </w:rPr>
        <w:t>2</w:t>
      </w:r>
      <w:r>
        <w:rPr>
          <w:rFonts w:ascii="宋体" w:hAnsi="宋体" w:hint="eastAsia"/>
          <w:color w:val="000000"/>
          <w:sz w:val="24"/>
          <w:szCs w:val="24"/>
        </w:rPr>
        <w:t>月</w:t>
      </w:r>
      <w:r w:rsidR="00F0293F">
        <w:rPr>
          <w:rFonts w:ascii="宋体" w:hAnsi="宋体" w:hint="eastAsia"/>
          <w:color w:val="000000"/>
          <w:sz w:val="24"/>
          <w:szCs w:val="24"/>
        </w:rPr>
        <w:t>2</w:t>
      </w:r>
      <w:r w:rsidR="00F0293F">
        <w:rPr>
          <w:rFonts w:ascii="宋体" w:hAnsi="宋体"/>
          <w:color w:val="000000"/>
          <w:sz w:val="24"/>
          <w:szCs w:val="24"/>
        </w:rPr>
        <w:t>9</w:t>
      </w:r>
      <w:r>
        <w:rPr>
          <w:rFonts w:ascii="宋体" w:hAnsi="宋体" w:hint="eastAsia"/>
          <w:color w:val="000000"/>
          <w:sz w:val="24"/>
          <w:szCs w:val="24"/>
        </w:rPr>
        <w:t>日到子公司</w:t>
      </w:r>
      <w:proofErr w:type="gramStart"/>
      <w:r>
        <w:rPr>
          <w:rFonts w:ascii="宋体" w:hAnsi="宋体" w:hint="eastAsia"/>
          <w:color w:val="000000"/>
          <w:sz w:val="24"/>
          <w:szCs w:val="24"/>
        </w:rPr>
        <w:t>募投专</w:t>
      </w:r>
      <w:proofErr w:type="gramEnd"/>
      <w:r>
        <w:rPr>
          <w:rFonts w:ascii="宋体" w:hAnsi="宋体" w:hint="eastAsia"/>
          <w:color w:val="000000"/>
          <w:sz w:val="24"/>
          <w:szCs w:val="24"/>
        </w:rPr>
        <w:t>户</w:t>
      </w:r>
      <w:r w:rsidRPr="00D93765">
        <w:rPr>
          <w:rFonts w:ascii="宋体" w:hAnsi="宋体" w:hint="eastAsia"/>
          <w:color w:val="000000"/>
          <w:sz w:val="24"/>
          <w:szCs w:val="24"/>
        </w:rPr>
        <w:t>。</w:t>
      </w:r>
      <w:r w:rsidRPr="00782782">
        <w:rPr>
          <w:rFonts w:ascii="宋体" w:hAnsi="宋体" w:hint="eastAsia"/>
          <w:color w:val="000000"/>
          <w:sz w:val="24"/>
          <w:szCs w:val="24"/>
        </w:rPr>
        <w:t>具体内容详见公司于2022年1</w:t>
      </w:r>
      <w:r>
        <w:rPr>
          <w:rFonts w:ascii="宋体" w:hAnsi="宋体"/>
          <w:color w:val="000000"/>
          <w:sz w:val="24"/>
          <w:szCs w:val="24"/>
        </w:rPr>
        <w:t>2</w:t>
      </w:r>
      <w:r w:rsidRPr="00782782">
        <w:rPr>
          <w:rFonts w:ascii="宋体" w:hAnsi="宋体" w:hint="eastAsia"/>
          <w:color w:val="000000"/>
          <w:sz w:val="24"/>
          <w:szCs w:val="24"/>
        </w:rPr>
        <w:t>月</w:t>
      </w:r>
      <w:r>
        <w:rPr>
          <w:rFonts w:ascii="宋体" w:hAnsi="宋体"/>
          <w:color w:val="000000"/>
          <w:sz w:val="24"/>
          <w:szCs w:val="24"/>
        </w:rPr>
        <w:t>21</w:t>
      </w:r>
      <w:r w:rsidRPr="00782782">
        <w:rPr>
          <w:rFonts w:ascii="宋体" w:hAnsi="宋体" w:hint="eastAsia"/>
          <w:color w:val="000000"/>
          <w:sz w:val="24"/>
          <w:szCs w:val="24"/>
        </w:rPr>
        <w:t>日刊载于上海证券交易所网站披露的《</w:t>
      </w:r>
      <w:r w:rsidRPr="00B5342B">
        <w:rPr>
          <w:rFonts w:ascii="宋体" w:hAnsi="宋体" w:hint="eastAsia"/>
          <w:color w:val="000000"/>
          <w:sz w:val="24"/>
          <w:szCs w:val="24"/>
        </w:rPr>
        <w:t>赛恩斯环保股份有限公司关于使用部分超募资金永久补充流动资金的公告</w:t>
      </w:r>
      <w:r w:rsidRPr="00782782">
        <w:rPr>
          <w:rFonts w:ascii="宋体" w:hAnsi="宋体" w:hint="eastAsia"/>
          <w:color w:val="000000"/>
          <w:sz w:val="24"/>
          <w:szCs w:val="24"/>
        </w:rPr>
        <w:t>》公告编号：202</w:t>
      </w:r>
      <w:r>
        <w:rPr>
          <w:rFonts w:ascii="宋体" w:hAnsi="宋体"/>
          <w:color w:val="000000"/>
          <w:sz w:val="24"/>
          <w:szCs w:val="24"/>
        </w:rPr>
        <w:t>2</w:t>
      </w:r>
      <w:r w:rsidRPr="00782782">
        <w:rPr>
          <w:rFonts w:ascii="宋体" w:hAnsi="宋体" w:hint="eastAsia"/>
          <w:color w:val="000000"/>
          <w:sz w:val="24"/>
          <w:szCs w:val="24"/>
        </w:rPr>
        <w:t>-00</w:t>
      </w:r>
      <w:r w:rsidR="002A39A5">
        <w:rPr>
          <w:rFonts w:ascii="宋体" w:hAnsi="宋体"/>
          <w:color w:val="000000"/>
          <w:sz w:val="24"/>
          <w:szCs w:val="24"/>
        </w:rPr>
        <w:t>3</w:t>
      </w:r>
      <w:r w:rsidRPr="00782782">
        <w:rPr>
          <w:rFonts w:ascii="宋体" w:hAnsi="宋体" w:hint="eastAsia"/>
          <w:color w:val="000000"/>
          <w:sz w:val="24"/>
          <w:szCs w:val="24"/>
        </w:rPr>
        <w:t>）。</w:t>
      </w:r>
    </w:p>
    <w:p w14:paraId="752D5BB4" w14:textId="77777777" w:rsidR="00E1093A" w:rsidRPr="008F5A76" w:rsidRDefault="00E1093A" w:rsidP="00BC23B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sidRPr="008F5A76">
        <w:rPr>
          <w:rFonts w:ascii="宋体" w:hAnsi="宋体" w:hint="eastAsia"/>
          <w:b/>
          <w:bCs/>
          <w:color w:val="000000"/>
          <w:sz w:val="24"/>
          <w:szCs w:val="24"/>
        </w:rPr>
        <w:t>四、变更</w:t>
      </w:r>
      <w:proofErr w:type="gramStart"/>
      <w:r w:rsidRPr="008F5A76">
        <w:rPr>
          <w:rFonts w:ascii="宋体" w:hAnsi="宋体" w:hint="eastAsia"/>
          <w:b/>
          <w:bCs/>
          <w:color w:val="000000"/>
          <w:sz w:val="24"/>
          <w:szCs w:val="24"/>
        </w:rPr>
        <w:t>募投项目</w:t>
      </w:r>
      <w:proofErr w:type="gramEnd"/>
      <w:r w:rsidRPr="008F5A76">
        <w:rPr>
          <w:rFonts w:ascii="宋体" w:hAnsi="宋体" w:hint="eastAsia"/>
          <w:b/>
          <w:bCs/>
          <w:color w:val="000000"/>
          <w:sz w:val="24"/>
          <w:szCs w:val="24"/>
        </w:rPr>
        <w:t>的资金使用情况</w:t>
      </w:r>
    </w:p>
    <w:p w14:paraId="6BD591FC" w14:textId="0FC7B1E2" w:rsidR="00E1093A" w:rsidRPr="00A753DA" w:rsidRDefault="00B5342B" w:rsidP="00654B6F">
      <w:pPr>
        <w:autoSpaceDE w:val="0"/>
        <w:autoSpaceDN w:val="0"/>
        <w:adjustRightInd w:val="0"/>
        <w:spacing w:line="360" w:lineRule="auto"/>
        <w:ind w:firstLineChars="200" w:firstLine="480"/>
        <w:rPr>
          <w:rFonts w:ascii="宋体" w:hAnsi="宋体"/>
          <w:color w:val="000000"/>
          <w:sz w:val="24"/>
          <w:szCs w:val="24"/>
        </w:rPr>
      </w:pPr>
      <w:r w:rsidRPr="00782782">
        <w:rPr>
          <w:rFonts w:ascii="宋体" w:hAnsi="宋体" w:hint="eastAsia"/>
          <w:color w:val="000000"/>
          <w:sz w:val="24"/>
          <w:szCs w:val="24"/>
        </w:rPr>
        <w:t>截至2022年12月31日，公司不存在</w:t>
      </w:r>
      <w:r w:rsidRPr="00B5342B">
        <w:rPr>
          <w:rFonts w:ascii="宋体" w:hAnsi="宋体" w:hint="eastAsia"/>
          <w:color w:val="000000"/>
          <w:sz w:val="24"/>
          <w:szCs w:val="24"/>
        </w:rPr>
        <w:t>变更</w:t>
      </w:r>
      <w:proofErr w:type="gramStart"/>
      <w:r w:rsidRPr="00B5342B">
        <w:rPr>
          <w:rFonts w:ascii="宋体" w:hAnsi="宋体" w:hint="eastAsia"/>
          <w:color w:val="000000"/>
          <w:sz w:val="24"/>
          <w:szCs w:val="24"/>
        </w:rPr>
        <w:t>募投项目</w:t>
      </w:r>
      <w:proofErr w:type="gramEnd"/>
      <w:r w:rsidRPr="00B5342B">
        <w:rPr>
          <w:rFonts w:ascii="宋体" w:hAnsi="宋体" w:hint="eastAsia"/>
          <w:color w:val="000000"/>
          <w:sz w:val="24"/>
          <w:szCs w:val="24"/>
        </w:rPr>
        <w:t>的资金使用情况</w:t>
      </w:r>
      <w:r w:rsidRPr="00782782">
        <w:rPr>
          <w:rFonts w:ascii="宋体" w:hAnsi="宋体" w:hint="eastAsia"/>
          <w:color w:val="000000"/>
          <w:sz w:val="24"/>
          <w:szCs w:val="24"/>
        </w:rPr>
        <w:t>。</w:t>
      </w:r>
    </w:p>
    <w:p w14:paraId="7B4E5912" w14:textId="77777777" w:rsidR="00E1093A" w:rsidRPr="008F5A76" w:rsidRDefault="00E1093A" w:rsidP="00BC23B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sidRPr="008F5A76">
        <w:rPr>
          <w:rFonts w:ascii="宋体" w:hAnsi="宋体" w:hint="eastAsia"/>
          <w:b/>
          <w:bCs/>
          <w:color w:val="000000"/>
          <w:sz w:val="24"/>
          <w:szCs w:val="24"/>
        </w:rPr>
        <w:t>五、募集资金使用及披露中存在的问题</w:t>
      </w:r>
    </w:p>
    <w:p w14:paraId="5000FE1F" w14:textId="70E51457" w:rsidR="00E1093A" w:rsidRPr="00A753DA" w:rsidRDefault="00D84315" w:rsidP="00654B6F">
      <w:pPr>
        <w:autoSpaceDE w:val="0"/>
        <w:autoSpaceDN w:val="0"/>
        <w:adjustRightInd w:val="0"/>
        <w:spacing w:line="360" w:lineRule="auto"/>
        <w:ind w:firstLineChars="200" w:firstLine="480"/>
        <w:rPr>
          <w:rFonts w:ascii="宋体" w:hAnsi="宋体"/>
          <w:color w:val="000000"/>
          <w:sz w:val="24"/>
          <w:szCs w:val="24"/>
        </w:rPr>
      </w:pPr>
      <w:r w:rsidRPr="00782782">
        <w:rPr>
          <w:rFonts w:ascii="宋体" w:hAnsi="宋体" w:hint="eastAsia"/>
          <w:color w:val="000000"/>
          <w:sz w:val="24"/>
          <w:szCs w:val="24"/>
        </w:rPr>
        <w:t>截至2022年12月31日</w:t>
      </w:r>
      <w:r w:rsidRPr="00D84315">
        <w:rPr>
          <w:rFonts w:ascii="宋体" w:hAnsi="宋体" w:hint="eastAsia"/>
          <w:color w:val="000000"/>
          <w:sz w:val="24"/>
          <w:szCs w:val="24"/>
        </w:rPr>
        <w:t>，公司按照相关法律、法规、规范性文件的规定和要求使用募集资金，并及时、真实、准确、完整披露了募集资金的存放与使用情况，不存在募集资金使用及披露的违规情形。</w:t>
      </w:r>
    </w:p>
    <w:p w14:paraId="5121B909" w14:textId="77777777" w:rsidR="00E1093A" w:rsidRDefault="00E1093A" w:rsidP="009C692F">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sidRPr="008F5A76">
        <w:rPr>
          <w:rFonts w:ascii="宋体" w:hAnsi="宋体" w:hint="eastAsia"/>
          <w:b/>
          <w:bCs/>
          <w:color w:val="000000"/>
          <w:sz w:val="24"/>
          <w:szCs w:val="24"/>
        </w:rPr>
        <w:t>六、会计师事务所对公司年度募集资金存放与使用情况出具的</w:t>
      </w:r>
      <w:proofErr w:type="gramStart"/>
      <w:r w:rsidRPr="008F5A76">
        <w:rPr>
          <w:rFonts w:ascii="宋体" w:hAnsi="宋体" w:hint="eastAsia"/>
          <w:b/>
          <w:bCs/>
          <w:color w:val="000000"/>
          <w:sz w:val="24"/>
          <w:szCs w:val="24"/>
        </w:rPr>
        <w:t>鉴证</w:t>
      </w:r>
      <w:proofErr w:type="gramEnd"/>
      <w:r w:rsidRPr="008F5A76">
        <w:rPr>
          <w:rFonts w:ascii="宋体" w:hAnsi="宋体" w:hint="eastAsia"/>
          <w:b/>
          <w:bCs/>
          <w:color w:val="000000"/>
          <w:sz w:val="24"/>
          <w:szCs w:val="24"/>
        </w:rPr>
        <w:t>报告的结论性意见。</w:t>
      </w:r>
    </w:p>
    <w:p w14:paraId="01F2B44A" w14:textId="707A9CB4" w:rsidR="009C692F" w:rsidRPr="009C692F" w:rsidRDefault="00FB31F6" w:rsidP="009C692F">
      <w:pPr>
        <w:autoSpaceDE w:val="0"/>
        <w:autoSpaceDN w:val="0"/>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经核查，</w:t>
      </w:r>
      <w:r w:rsidRPr="00FB31F6">
        <w:rPr>
          <w:rFonts w:ascii="宋体" w:hAnsi="宋体" w:hint="eastAsia"/>
          <w:color w:val="000000"/>
          <w:sz w:val="24"/>
          <w:szCs w:val="24"/>
        </w:rPr>
        <w:t>天健会计师事务所（特殊普通合伙）</w:t>
      </w:r>
      <w:r w:rsidR="009C692F" w:rsidRPr="009C692F">
        <w:rPr>
          <w:rFonts w:ascii="宋体" w:hAnsi="宋体" w:hint="eastAsia"/>
          <w:color w:val="000000"/>
          <w:sz w:val="24"/>
          <w:szCs w:val="24"/>
        </w:rPr>
        <w:t>认为，赛恩斯公司管理层编制的2022年度《关于募集资金年度存放与使用情况的专项报告》符合《上市公司监管指引第2号——上市公司募集资金管理和使用的监管要求（2022年修订）》（证监会公告〔2022〕15号）和《上海证券交易所科创板上市公司自律监管指引第1号——规范运作》（上证发〔2022〕14号）的规定，如实反映了赛恩斯公司募集资金2022年度实际存放与使用情况。</w:t>
      </w:r>
    </w:p>
    <w:p w14:paraId="2DF9E7E4" w14:textId="77777777" w:rsidR="00E1093A" w:rsidRPr="008F5A76" w:rsidRDefault="00E1093A" w:rsidP="00BC23BA">
      <w:pPr>
        <w:autoSpaceDE w:val="0"/>
        <w:autoSpaceDN w:val="0"/>
        <w:adjustRightInd w:val="0"/>
        <w:spacing w:beforeLines="50" w:before="156" w:afterLines="50" w:after="156" w:line="360" w:lineRule="auto"/>
        <w:ind w:firstLineChars="200" w:firstLine="482"/>
        <w:rPr>
          <w:rFonts w:ascii="宋体" w:hAnsi="宋体"/>
          <w:b/>
          <w:bCs/>
          <w:color w:val="000000"/>
          <w:sz w:val="24"/>
          <w:szCs w:val="24"/>
        </w:rPr>
      </w:pPr>
      <w:r w:rsidRPr="008F5A76">
        <w:rPr>
          <w:rFonts w:ascii="宋体" w:hAnsi="宋体" w:hint="eastAsia"/>
          <w:b/>
          <w:bCs/>
          <w:color w:val="000000"/>
          <w:sz w:val="24"/>
          <w:szCs w:val="24"/>
        </w:rPr>
        <w:t>七、保荐人或独立财务顾问对公司年度募集资金存放与使用情况所出具的专项核查报告的结论性意见。</w:t>
      </w:r>
    </w:p>
    <w:p w14:paraId="48493126" w14:textId="58F76E76" w:rsidR="00FB31F6" w:rsidRDefault="00FB31F6" w:rsidP="00E1093A">
      <w:pPr>
        <w:autoSpaceDE w:val="0"/>
        <w:autoSpaceDN w:val="0"/>
        <w:adjustRightInd w:val="0"/>
        <w:spacing w:line="560" w:lineRule="exact"/>
        <w:ind w:firstLineChars="192" w:firstLine="461"/>
        <w:jc w:val="left"/>
        <w:rPr>
          <w:rFonts w:ascii="宋体" w:hAnsi="宋体" w:cs="宋体-WinCharSetFFFF-H"/>
          <w:color w:val="000000"/>
          <w:kern w:val="0"/>
          <w:sz w:val="24"/>
          <w:szCs w:val="24"/>
        </w:rPr>
      </w:pPr>
      <w:r w:rsidRPr="00FB31F6">
        <w:rPr>
          <w:rFonts w:ascii="宋体" w:hAnsi="宋体" w:cs="宋体-WinCharSetFFFF-H" w:hint="eastAsia"/>
          <w:color w:val="000000"/>
          <w:kern w:val="0"/>
          <w:sz w:val="24"/>
          <w:szCs w:val="24"/>
        </w:rPr>
        <w:lastRenderedPageBreak/>
        <w:t>经核查，保荐机构</w:t>
      </w:r>
      <w:proofErr w:type="gramStart"/>
      <w:r w:rsidR="00250168" w:rsidRPr="00250168">
        <w:rPr>
          <w:rFonts w:ascii="宋体" w:hAnsi="宋体" w:cs="宋体-WinCharSetFFFF-H" w:hint="eastAsia"/>
          <w:color w:val="000000"/>
          <w:kern w:val="0"/>
          <w:sz w:val="24"/>
          <w:szCs w:val="24"/>
        </w:rPr>
        <w:t>申万宏源证券</w:t>
      </w:r>
      <w:proofErr w:type="gramEnd"/>
      <w:r w:rsidR="00250168" w:rsidRPr="00250168">
        <w:rPr>
          <w:rFonts w:ascii="宋体" w:hAnsi="宋体" w:cs="宋体-WinCharSetFFFF-H" w:hint="eastAsia"/>
          <w:color w:val="000000"/>
          <w:kern w:val="0"/>
          <w:sz w:val="24"/>
          <w:szCs w:val="24"/>
        </w:rPr>
        <w:t>承销保荐有限责任公司</w:t>
      </w:r>
      <w:r w:rsidRPr="00FB31F6">
        <w:rPr>
          <w:rFonts w:ascii="宋体" w:hAnsi="宋体" w:cs="宋体-WinCharSetFFFF-H" w:hint="eastAsia"/>
          <w:color w:val="000000"/>
          <w:kern w:val="0"/>
          <w:sz w:val="24"/>
          <w:szCs w:val="24"/>
        </w:rPr>
        <w:t>认为：赛恩斯2022年度募集资金存放与使用情况符合《证券发行上市保荐业务管理办法》、《上市公司监管指引第2号—上市公司募集资金管理和使用的监管要求》、《上海证券交易所科创板上市公司自律监管指引第1号—规范运作》等文件的规定，对募集资金进行了专户存储和专项使用，不存在违规改变募集资金用途和损害股东利益的情况，不存在违规使用募集资金的情形。</w:t>
      </w:r>
    </w:p>
    <w:p w14:paraId="3EB98EEB" w14:textId="69D5C090" w:rsidR="00E1093A" w:rsidRPr="00A753DA" w:rsidRDefault="00E1093A" w:rsidP="00E1093A">
      <w:pPr>
        <w:autoSpaceDE w:val="0"/>
        <w:autoSpaceDN w:val="0"/>
        <w:adjustRightInd w:val="0"/>
        <w:spacing w:line="560" w:lineRule="exact"/>
        <w:ind w:firstLineChars="192" w:firstLine="461"/>
        <w:jc w:val="left"/>
        <w:rPr>
          <w:rFonts w:ascii="宋体" w:hAnsi="宋体" w:cs="宋体-WinCharSetFFFF-H"/>
          <w:color w:val="000000"/>
          <w:kern w:val="0"/>
          <w:sz w:val="24"/>
          <w:szCs w:val="24"/>
        </w:rPr>
      </w:pPr>
      <w:r w:rsidRPr="00A753DA">
        <w:rPr>
          <w:rFonts w:ascii="宋体" w:hAnsi="宋体" w:cs="宋体-WinCharSetFFFF-H" w:hint="eastAsia"/>
          <w:color w:val="000000"/>
          <w:kern w:val="0"/>
          <w:sz w:val="24"/>
          <w:szCs w:val="24"/>
        </w:rPr>
        <w:t>特此公告。</w:t>
      </w:r>
    </w:p>
    <w:p w14:paraId="6FAC9DEB" w14:textId="77777777" w:rsidR="00E1093A" w:rsidRPr="00A753DA" w:rsidRDefault="00E1093A" w:rsidP="00E1093A">
      <w:pPr>
        <w:autoSpaceDE w:val="0"/>
        <w:autoSpaceDN w:val="0"/>
        <w:adjustRightInd w:val="0"/>
        <w:spacing w:line="560" w:lineRule="exact"/>
        <w:ind w:firstLineChars="192" w:firstLine="461"/>
        <w:jc w:val="left"/>
        <w:rPr>
          <w:rFonts w:ascii="宋体" w:hAnsi="宋体" w:cs="宋体-WinCharSetFFFF-H"/>
          <w:color w:val="000000"/>
          <w:kern w:val="0"/>
          <w:sz w:val="24"/>
          <w:szCs w:val="24"/>
        </w:rPr>
      </w:pPr>
    </w:p>
    <w:p w14:paraId="4C332453" w14:textId="30029ACD" w:rsidR="00E1093A" w:rsidRPr="00A753DA" w:rsidRDefault="00D84315" w:rsidP="00E1093A">
      <w:pPr>
        <w:autoSpaceDE w:val="0"/>
        <w:autoSpaceDN w:val="0"/>
        <w:adjustRightInd w:val="0"/>
        <w:spacing w:line="560" w:lineRule="exact"/>
        <w:jc w:val="right"/>
        <w:rPr>
          <w:rFonts w:ascii="宋体" w:hAnsi="宋体" w:cs="宋体-WinCharSetFFFF-H"/>
          <w:color w:val="000000"/>
          <w:kern w:val="0"/>
          <w:sz w:val="24"/>
          <w:szCs w:val="24"/>
        </w:rPr>
      </w:pPr>
      <w:r>
        <w:rPr>
          <w:rFonts w:ascii="宋体" w:hAnsi="宋体" w:cs="宋体" w:hint="eastAsia"/>
          <w:color w:val="000000"/>
          <w:kern w:val="0"/>
          <w:sz w:val="24"/>
          <w:szCs w:val="24"/>
        </w:rPr>
        <w:t>赛恩斯环保</w:t>
      </w:r>
      <w:r w:rsidR="00E1093A" w:rsidRPr="00A753DA">
        <w:rPr>
          <w:rFonts w:ascii="宋体" w:hAnsi="宋体" w:cs="宋体-WinCharSetFFFF-H" w:hint="eastAsia"/>
          <w:color w:val="000000"/>
          <w:kern w:val="0"/>
          <w:sz w:val="24"/>
          <w:szCs w:val="24"/>
        </w:rPr>
        <w:t>股份有限公司董事会</w:t>
      </w:r>
    </w:p>
    <w:p w14:paraId="3908EB12" w14:textId="4D15119A" w:rsidR="00BC23BA" w:rsidRDefault="00181FE6" w:rsidP="00E1093A">
      <w:pPr>
        <w:spacing w:line="560" w:lineRule="exact"/>
        <w:jc w:val="right"/>
        <w:rPr>
          <w:rFonts w:ascii="宋体" w:hAnsi="宋体" w:cs="宋体-WinCharSetFFFF-H"/>
          <w:color w:val="000000"/>
          <w:kern w:val="0"/>
          <w:sz w:val="24"/>
          <w:szCs w:val="24"/>
        </w:rPr>
      </w:pPr>
      <w:r>
        <w:rPr>
          <w:rFonts w:ascii="宋体" w:hAnsi="宋体" w:cs="宋体-WinCharSetFFFF-H"/>
          <w:color w:val="000000"/>
          <w:kern w:val="0"/>
          <w:sz w:val="24"/>
          <w:szCs w:val="24"/>
        </w:rPr>
        <w:t>2023</w:t>
      </w:r>
      <w:r w:rsidR="00E1093A" w:rsidRPr="00A753DA">
        <w:rPr>
          <w:rFonts w:ascii="宋体" w:hAnsi="宋体" w:cs="宋体-WinCharSetFFFF-H" w:hint="eastAsia"/>
          <w:color w:val="000000"/>
          <w:kern w:val="0"/>
          <w:sz w:val="24"/>
          <w:szCs w:val="24"/>
        </w:rPr>
        <w:t>年</w:t>
      </w:r>
      <w:r>
        <w:rPr>
          <w:rFonts w:ascii="宋体" w:hAnsi="宋体" w:cs="宋体-WinCharSetFFFF-H"/>
          <w:color w:val="000000"/>
          <w:kern w:val="0"/>
          <w:sz w:val="24"/>
          <w:szCs w:val="24"/>
        </w:rPr>
        <w:t>4</w:t>
      </w:r>
      <w:r w:rsidR="00E1093A" w:rsidRPr="00A753DA">
        <w:rPr>
          <w:rFonts w:ascii="宋体" w:hAnsi="宋体" w:cs="宋体-WinCharSetFFFF-H" w:hint="eastAsia"/>
          <w:color w:val="000000"/>
          <w:kern w:val="0"/>
          <w:sz w:val="24"/>
          <w:szCs w:val="24"/>
        </w:rPr>
        <w:t>月</w:t>
      </w:r>
      <w:r>
        <w:rPr>
          <w:rFonts w:ascii="宋体" w:hAnsi="宋体" w:cs="宋体-WinCharSetFFFF-H"/>
          <w:color w:val="000000"/>
          <w:kern w:val="0"/>
          <w:sz w:val="24"/>
          <w:szCs w:val="24"/>
        </w:rPr>
        <w:t>2</w:t>
      </w:r>
      <w:r w:rsidR="000A32F2">
        <w:rPr>
          <w:rFonts w:ascii="宋体" w:hAnsi="宋体" w:cs="宋体-WinCharSetFFFF-H"/>
          <w:color w:val="000000"/>
          <w:kern w:val="0"/>
          <w:sz w:val="24"/>
          <w:szCs w:val="24"/>
        </w:rPr>
        <w:t>5</w:t>
      </w:r>
      <w:r w:rsidR="00E1093A" w:rsidRPr="00A753DA">
        <w:rPr>
          <w:rFonts w:ascii="宋体" w:hAnsi="宋体" w:cs="宋体-WinCharSetFFFF-H" w:hint="eastAsia"/>
          <w:color w:val="000000"/>
          <w:kern w:val="0"/>
          <w:sz w:val="24"/>
          <w:szCs w:val="24"/>
        </w:rPr>
        <w:t>日</w:t>
      </w:r>
      <w:r w:rsidR="00BC23BA">
        <w:rPr>
          <w:rFonts w:ascii="宋体" w:hAnsi="宋体" w:cs="宋体-WinCharSetFFFF-H"/>
          <w:color w:val="000000"/>
          <w:kern w:val="0"/>
          <w:sz w:val="24"/>
          <w:szCs w:val="24"/>
        </w:rPr>
        <w:br w:type="page"/>
      </w:r>
    </w:p>
    <w:p w14:paraId="4547BC7C" w14:textId="77777777" w:rsidR="00BC23BA" w:rsidRDefault="00BC23BA" w:rsidP="0021466C">
      <w:pPr>
        <w:widowControl/>
        <w:adjustRightInd w:val="0"/>
        <w:snapToGrid w:val="0"/>
        <w:spacing w:line="560" w:lineRule="exact"/>
        <w:jc w:val="left"/>
        <w:rPr>
          <w:rFonts w:ascii="宋体" w:hAnsi="宋体"/>
          <w:b/>
          <w:bCs/>
          <w:sz w:val="28"/>
          <w:szCs w:val="28"/>
        </w:rPr>
        <w:sectPr w:rsidR="00BC23BA" w:rsidSect="00BC23BA">
          <w:pgSz w:w="11906" w:h="16838"/>
          <w:pgMar w:top="1440" w:right="1800" w:bottom="1440" w:left="1800" w:header="851" w:footer="992" w:gutter="0"/>
          <w:cols w:space="425"/>
          <w:docGrid w:type="lines" w:linePitch="312"/>
        </w:sectPr>
      </w:pPr>
    </w:p>
    <w:p w14:paraId="61BDB92B" w14:textId="70682B6E" w:rsidR="0021466C" w:rsidRPr="00BC23BA" w:rsidRDefault="00BC23BA" w:rsidP="0021466C">
      <w:pPr>
        <w:widowControl/>
        <w:adjustRightInd w:val="0"/>
        <w:snapToGrid w:val="0"/>
        <w:spacing w:line="560" w:lineRule="exact"/>
        <w:jc w:val="left"/>
        <w:rPr>
          <w:rFonts w:ascii="宋体" w:hAnsi="宋体"/>
          <w:b/>
          <w:bCs/>
          <w:sz w:val="28"/>
          <w:szCs w:val="28"/>
        </w:rPr>
      </w:pPr>
      <w:r w:rsidRPr="00BC23BA">
        <w:rPr>
          <w:rFonts w:ascii="宋体" w:hAnsi="宋体" w:hint="eastAsia"/>
          <w:b/>
          <w:bCs/>
          <w:sz w:val="28"/>
          <w:szCs w:val="28"/>
        </w:rPr>
        <w:lastRenderedPageBreak/>
        <w:t>附件</w:t>
      </w:r>
      <w:r>
        <w:rPr>
          <w:rFonts w:ascii="宋体" w:hAnsi="宋体"/>
          <w:b/>
          <w:bCs/>
          <w:sz w:val="28"/>
          <w:szCs w:val="28"/>
        </w:rPr>
        <w:softHyphen/>
      </w:r>
      <w:r>
        <w:rPr>
          <w:rFonts w:ascii="宋体" w:hAnsi="宋体"/>
          <w:b/>
          <w:bCs/>
          <w:sz w:val="28"/>
          <w:szCs w:val="28"/>
        </w:rPr>
        <w:softHyphen/>
      </w:r>
    </w:p>
    <w:p w14:paraId="4675A014" w14:textId="77777777" w:rsidR="0021466C" w:rsidRPr="00BC23BA" w:rsidRDefault="0021466C" w:rsidP="0021466C">
      <w:pPr>
        <w:adjustRightInd w:val="0"/>
        <w:snapToGrid w:val="0"/>
        <w:spacing w:line="560" w:lineRule="exact"/>
        <w:ind w:firstLineChars="200" w:firstLine="482"/>
        <w:jc w:val="center"/>
        <w:rPr>
          <w:rFonts w:ascii="宋体" w:hAnsi="宋体" w:cs="宋体"/>
          <w:b/>
          <w:color w:val="000000"/>
          <w:kern w:val="0"/>
          <w:sz w:val="24"/>
          <w:szCs w:val="24"/>
        </w:rPr>
      </w:pPr>
      <w:r w:rsidRPr="00BC23BA">
        <w:rPr>
          <w:rFonts w:ascii="宋体" w:hAnsi="宋体" w:cs="宋体" w:hint="eastAsia"/>
          <w:b/>
          <w:color w:val="000000"/>
          <w:kern w:val="0"/>
          <w:sz w:val="24"/>
          <w:szCs w:val="24"/>
        </w:rPr>
        <w:t>募集资金使用情况对照表</w:t>
      </w:r>
    </w:p>
    <w:p w14:paraId="298B09F7" w14:textId="34CC0505" w:rsidR="0021466C" w:rsidRPr="00BC23BA" w:rsidRDefault="0021466C" w:rsidP="0021466C">
      <w:pPr>
        <w:adjustRightInd w:val="0"/>
        <w:snapToGrid w:val="0"/>
        <w:spacing w:line="560" w:lineRule="exact"/>
        <w:ind w:firstLineChars="200" w:firstLine="420"/>
        <w:jc w:val="right"/>
        <w:rPr>
          <w:rFonts w:ascii="宋体" w:hAnsi="宋体"/>
          <w:b/>
          <w:color w:val="000000"/>
          <w:szCs w:val="21"/>
        </w:rPr>
      </w:pPr>
      <w:r w:rsidRPr="00BC23BA">
        <w:rPr>
          <w:rFonts w:ascii="宋体" w:hAnsi="宋体" w:hint="eastAsia"/>
          <w:color w:val="000000"/>
          <w:szCs w:val="21"/>
        </w:rPr>
        <w:t xml:space="preserve">　　　　　　　　　　　　　　　　　　　　单位：</w:t>
      </w:r>
      <w:r w:rsidR="003C7123">
        <w:rPr>
          <w:rFonts w:ascii="宋体" w:hAnsi="宋体" w:hint="eastAsia"/>
          <w:color w:val="000000"/>
          <w:szCs w:val="21"/>
        </w:rPr>
        <w:t>人民币万元</w:t>
      </w:r>
    </w:p>
    <w:tbl>
      <w:tblPr>
        <w:tblW w:w="5085" w:type="pct"/>
        <w:jc w:val="center"/>
        <w:tblLook w:val="04A0" w:firstRow="1" w:lastRow="0" w:firstColumn="1" w:lastColumn="0" w:noHBand="0" w:noVBand="1"/>
      </w:tblPr>
      <w:tblGrid>
        <w:gridCol w:w="1790"/>
        <w:gridCol w:w="882"/>
        <w:gridCol w:w="1162"/>
        <w:gridCol w:w="1231"/>
        <w:gridCol w:w="1162"/>
        <w:gridCol w:w="741"/>
        <w:gridCol w:w="741"/>
        <w:gridCol w:w="1349"/>
        <w:gridCol w:w="1297"/>
        <w:gridCol w:w="1162"/>
        <w:gridCol w:w="940"/>
        <w:gridCol w:w="1044"/>
        <w:gridCol w:w="914"/>
      </w:tblGrid>
      <w:tr w:rsidR="0021466C" w:rsidRPr="00BC23BA" w14:paraId="2F2F34F4" w14:textId="77777777" w:rsidTr="005671C2">
        <w:trPr>
          <w:trHeight w:val="285"/>
          <w:jc w:val="center"/>
        </w:trPr>
        <w:tc>
          <w:tcPr>
            <w:tcW w:w="1757" w:type="pct"/>
            <w:gridSpan w:val="4"/>
            <w:tcBorders>
              <w:top w:val="single" w:sz="8" w:space="0" w:color="auto"/>
              <w:left w:val="single" w:sz="8" w:space="0" w:color="auto"/>
              <w:bottom w:val="single" w:sz="4" w:space="0" w:color="auto"/>
              <w:right w:val="single" w:sz="4" w:space="0" w:color="auto"/>
            </w:tcBorders>
            <w:vAlign w:val="center"/>
          </w:tcPr>
          <w:p w14:paraId="560A1562" w14:textId="1FBC593A"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募集资金</w:t>
            </w:r>
            <w:r w:rsidR="00FB31F6">
              <w:rPr>
                <w:rFonts w:ascii="宋体" w:hAnsi="宋体" w:hint="eastAsia"/>
                <w:color w:val="000000"/>
                <w:kern w:val="0"/>
                <w:szCs w:val="21"/>
              </w:rPr>
              <w:t>净</w:t>
            </w:r>
            <w:r w:rsidR="00FB31F6" w:rsidRPr="00BC23BA">
              <w:rPr>
                <w:rFonts w:ascii="宋体" w:hAnsi="宋体" w:hint="eastAsia"/>
                <w:color w:val="000000"/>
                <w:kern w:val="0"/>
                <w:szCs w:val="21"/>
              </w:rPr>
              <w:t>额</w:t>
            </w:r>
          </w:p>
        </w:tc>
        <w:tc>
          <w:tcPr>
            <w:tcW w:w="660" w:type="pct"/>
            <w:gridSpan w:val="2"/>
            <w:tcBorders>
              <w:top w:val="single" w:sz="8" w:space="0" w:color="auto"/>
              <w:left w:val="nil"/>
              <w:bottom w:val="single" w:sz="4" w:space="0" w:color="auto"/>
              <w:right w:val="single" w:sz="4" w:space="0" w:color="auto"/>
            </w:tcBorders>
            <w:vAlign w:val="center"/>
          </w:tcPr>
          <w:p w14:paraId="5BE32379" w14:textId="6E48FB87" w:rsidR="0021466C" w:rsidRPr="00BC23BA" w:rsidRDefault="003C7123" w:rsidP="00BC23BA">
            <w:pPr>
              <w:widowControl/>
              <w:adjustRightInd w:val="0"/>
              <w:snapToGrid w:val="0"/>
              <w:jc w:val="center"/>
              <w:rPr>
                <w:rFonts w:ascii="宋体" w:hAnsi="宋体"/>
                <w:color w:val="000000"/>
                <w:kern w:val="0"/>
                <w:szCs w:val="21"/>
              </w:rPr>
            </w:pPr>
            <w:r w:rsidRPr="003C7123">
              <w:rPr>
                <w:rFonts w:ascii="宋体" w:hAnsi="宋体"/>
                <w:color w:val="000000"/>
                <w:kern w:val="0"/>
                <w:szCs w:val="21"/>
              </w:rPr>
              <w:t>39,924.48</w:t>
            </w:r>
            <w:r w:rsidR="0021466C" w:rsidRPr="00BC23BA">
              <w:rPr>
                <w:rFonts w:ascii="宋体" w:hAnsi="宋体" w:hint="eastAsia"/>
                <w:color w:val="000000"/>
                <w:kern w:val="0"/>
                <w:szCs w:val="21"/>
              </w:rPr>
              <w:t xml:space="preserve">　</w:t>
            </w:r>
          </w:p>
        </w:tc>
        <w:tc>
          <w:tcPr>
            <w:tcW w:w="1904" w:type="pct"/>
            <w:gridSpan w:val="5"/>
            <w:tcBorders>
              <w:top w:val="single" w:sz="8" w:space="0" w:color="auto"/>
              <w:left w:val="nil"/>
              <w:bottom w:val="single" w:sz="4" w:space="0" w:color="auto"/>
              <w:right w:val="single" w:sz="4" w:space="0" w:color="auto"/>
            </w:tcBorders>
            <w:vAlign w:val="center"/>
          </w:tcPr>
          <w:p w14:paraId="33D4AEC0"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本年度投入募集资金总额</w:t>
            </w:r>
          </w:p>
        </w:tc>
        <w:tc>
          <w:tcPr>
            <w:tcW w:w="679" w:type="pct"/>
            <w:gridSpan w:val="2"/>
            <w:tcBorders>
              <w:top w:val="single" w:sz="8" w:space="0" w:color="auto"/>
              <w:left w:val="nil"/>
              <w:bottom w:val="single" w:sz="4" w:space="0" w:color="auto"/>
              <w:right w:val="single" w:sz="8" w:space="0" w:color="000000"/>
            </w:tcBorders>
            <w:vAlign w:val="center"/>
          </w:tcPr>
          <w:p w14:paraId="0140D4C5" w14:textId="17D36EC9" w:rsidR="0021466C" w:rsidRPr="00BC23BA" w:rsidRDefault="00602029" w:rsidP="00BC23BA">
            <w:pPr>
              <w:widowControl/>
              <w:adjustRightInd w:val="0"/>
              <w:snapToGrid w:val="0"/>
              <w:jc w:val="center"/>
              <w:rPr>
                <w:rFonts w:ascii="宋体" w:hAnsi="宋体"/>
                <w:color w:val="000000"/>
                <w:kern w:val="0"/>
                <w:szCs w:val="21"/>
              </w:rPr>
            </w:pPr>
            <w:r>
              <w:rPr>
                <w:rFonts w:ascii="宋体" w:hAnsi="宋体"/>
                <w:color w:val="000000"/>
                <w:kern w:val="0"/>
                <w:szCs w:val="21"/>
              </w:rPr>
              <w:t>99.98</w:t>
            </w:r>
          </w:p>
        </w:tc>
      </w:tr>
      <w:tr w:rsidR="0021466C" w:rsidRPr="00BC23BA" w14:paraId="721628E1" w14:textId="77777777" w:rsidTr="005671C2">
        <w:trPr>
          <w:cantSplit/>
          <w:trHeight w:val="285"/>
          <w:jc w:val="center"/>
        </w:trPr>
        <w:tc>
          <w:tcPr>
            <w:tcW w:w="1757" w:type="pct"/>
            <w:gridSpan w:val="4"/>
            <w:tcBorders>
              <w:top w:val="single" w:sz="4" w:space="0" w:color="auto"/>
              <w:left w:val="single" w:sz="8" w:space="0" w:color="auto"/>
              <w:bottom w:val="single" w:sz="4" w:space="0" w:color="auto"/>
              <w:right w:val="single" w:sz="4" w:space="0" w:color="auto"/>
            </w:tcBorders>
            <w:vAlign w:val="center"/>
          </w:tcPr>
          <w:p w14:paraId="7E7CF8D1" w14:textId="461265A3"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变更用途的募集资金总额</w:t>
            </w:r>
          </w:p>
        </w:tc>
        <w:tc>
          <w:tcPr>
            <w:tcW w:w="660" w:type="pct"/>
            <w:gridSpan w:val="2"/>
            <w:tcBorders>
              <w:top w:val="single" w:sz="4" w:space="0" w:color="auto"/>
              <w:left w:val="nil"/>
              <w:bottom w:val="single" w:sz="4" w:space="0" w:color="auto"/>
              <w:right w:val="single" w:sz="4" w:space="0" w:color="auto"/>
            </w:tcBorders>
            <w:vAlign w:val="center"/>
          </w:tcPr>
          <w:p w14:paraId="1B626B1B" w14:textId="57C6AC99" w:rsidR="0021466C" w:rsidRPr="00BC23BA" w:rsidRDefault="003C7123" w:rsidP="00BC23BA">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r w:rsidR="0021466C" w:rsidRPr="00BC23BA">
              <w:rPr>
                <w:rFonts w:ascii="宋体" w:hAnsi="宋体" w:hint="eastAsia"/>
                <w:color w:val="000000"/>
                <w:kern w:val="0"/>
                <w:szCs w:val="21"/>
              </w:rPr>
              <w:t xml:space="preserve">　</w:t>
            </w:r>
          </w:p>
        </w:tc>
        <w:tc>
          <w:tcPr>
            <w:tcW w:w="1904" w:type="pct"/>
            <w:gridSpan w:val="5"/>
            <w:vMerge w:val="restart"/>
            <w:tcBorders>
              <w:top w:val="single" w:sz="4" w:space="0" w:color="auto"/>
              <w:left w:val="single" w:sz="4" w:space="0" w:color="auto"/>
              <w:bottom w:val="single" w:sz="4" w:space="0" w:color="auto"/>
              <w:right w:val="single" w:sz="4" w:space="0" w:color="auto"/>
            </w:tcBorders>
            <w:vAlign w:val="center"/>
          </w:tcPr>
          <w:p w14:paraId="29B3A3FB"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已累计投入募集资金总额</w:t>
            </w:r>
          </w:p>
        </w:tc>
        <w:tc>
          <w:tcPr>
            <w:tcW w:w="679" w:type="pct"/>
            <w:gridSpan w:val="2"/>
            <w:vMerge w:val="restart"/>
            <w:tcBorders>
              <w:top w:val="single" w:sz="4" w:space="0" w:color="auto"/>
              <w:left w:val="single" w:sz="4" w:space="0" w:color="auto"/>
              <w:bottom w:val="single" w:sz="4" w:space="0" w:color="auto"/>
              <w:right w:val="single" w:sz="8" w:space="0" w:color="000000"/>
            </w:tcBorders>
            <w:vAlign w:val="center"/>
          </w:tcPr>
          <w:p w14:paraId="6BA69E5C" w14:textId="4BBFE822" w:rsidR="0021466C" w:rsidRPr="00BC23BA" w:rsidRDefault="00602029" w:rsidP="00BC23BA">
            <w:pPr>
              <w:widowControl/>
              <w:adjustRightInd w:val="0"/>
              <w:snapToGrid w:val="0"/>
              <w:jc w:val="center"/>
              <w:rPr>
                <w:rFonts w:ascii="宋体" w:hAnsi="宋体"/>
                <w:color w:val="000000"/>
                <w:kern w:val="0"/>
                <w:szCs w:val="21"/>
              </w:rPr>
            </w:pPr>
            <w:r>
              <w:rPr>
                <w:rFonts w:ascii="宋体" w:hAnsi="宋体"/>
                <w:color w:val="000000"/>
                <w:kern w:val="0"/>
                <w:szCs w:val="21"/>
              </w:rPr>
              <w:t>99.98</w:t>
            </w:r>
            <w:r w:rsidR="0021466C" w:rsidRPr="00BC23BA">
              <w:rPr>
                <w:rFonts w:ascii="宋体" w:hAnsi="宋体" w:hint="eastAsia"/>
                <w:color w:val="000000"/>
                <w:kern w:val="0"/>
                <w:szCs w:val="21"/>
              </w:rPr>
              <w:t xml:space="preserve">　</w:t>
            </w:r>
          </w:p>
        </w:tc>
      </w:tr>
      <w:tr w:rsidR="0021466C" w:rsidRPr="00BC23BA" w14:paraId="1E8E1B1E" w14:textId="77777777" w:rsidTr="005671C2">
        <w:trPr>
          <w:cantSplit/>
          <w:trHeight w:val="285"/>
          <w:jc w:val="center"/>
        </w:trPr>
        <w:tc>
          <w:tcPr>
            <w:tcW w:w="1757" w:type="pct"/>
            <w:gridSpan w:val="4"/>
            <w:tcBorders>
              <w:top w:val="single" w:sz="4" w:space="0" w:color="auto"/>
              <w:left w:val="single" w:sz="8" w:space="0" w:color="auto"/>
              <w:bottom w:val="single" w:sz="4" w:space="0" w:color="auto"/>
              <w:right w:val="single" w:sz="4" w:space="0" w:color="auto"/>
            </w:tcBorders>
            <w:vAlign w:val="center"/>
          </w:tcPr>
          <w:p w14:paraId="2E0AB749" w14:textId="4AD1EB1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变更用途的募集资金总额比例</w:t>
            </w:r>
          </w:p>
        </w:tc>
        <w:tc>
          <w:tcPr>
            <w:tcW w:w="660" w:type="pct"/>
            <w:gridSpan w:val="2"/>
            <w:tcBorders>
              <w:top w:val="single" w:sz="4" w:space="0" w:color="auto"/>
              <w:left w:val="nil"/>
              <w:bottom w:val="single" w:sz="4" w:space="0" w:color="auto"/>
              <w:right w:val="single" w:sz="4" w:space="0" w:color="auto"/>
            </w:tcBorders>
            <w:vAlign w:val="center"/>
          </w:tcPr>
          <w:p w14:paraId="6C26413C" w14:textId="7BD843CB" w:rsidR="0021466C" w:rsidRPr="00BC23BA" w:rsidRDefault="003C7123" w:rsidP="00BC23BA">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r w:rsidR="0021466C" w:rsidRPr="00BC23BA">
              <w:rPr>
                <w:rFonts w:ascii="宋体" w:hAnsi="宋体" w:hint="eastAsia"/>
                <w:color w:val="000000"/>
                <w:kern w:val="0"/>
                <w:szCs w:val="21"/>
              </w:rPr>
              <w:t xml:space="preserve">　</w:t>
            </w:r>
          </w:p>
        </w:tc>
        <w:tc>
          <w:tcPr>
            <w:tcW w:w="1904" w:type="pct"/>
            <w:gridSpan w:val="5"/>
            <w:vMerge/>
            <w:tcBorders>
              <w:top w:val="single" w:sz="4" w:space="0" w:color="auto"/>
              <w:left w:val="single" w:sz="4" w:space="0" w:color="auto"/>
              <w:bottom w:val="single" w:sz="4" w:space="0" w:color="auto"/>
              <w:right w:val="single" w:sz="4" w:space="0" w:color="auto"/>
            </w:tcBorders>
            <w:vAlign w:val="center"/>
          </w:tcPr>
          <w:p w14:paraId="12A19336" w14:textId="77777777" w:rsidR="0021466C" w:rsidRPr="00BC23BA" w:rsidRDefault="0021466C" w:rsidP="00BC23BA">
            <w:pPr>
              <w:widowControl/>
              <w:adjustRightInd w:val="0"/>
              <w:snapToGrid w:val="0"/>
              <w:jc w:val="left"/>
              <w:rPr>
                <w:rFonts w:ascii="宋体" w:hAnsi="宋体"/>
                <w:color w:val="000000"/>
                <w:kern w:val="0"/>
                <w:szCs w:val="21"/>
              </w:rPr>
            </w:pPr>
          </w:p>
        </w:tc>
        <w:tc>
          <w:tcPr>
            <w:tcW w:w="679" w:type="pct"/>
            <w:gridSpan w:val="2"/>
            <w:vMerge/>
            <w:tcBorders>
              <w:top w:val="single" w:sz="4" w:space="0" w:color="auto"/>
              <w:left w:val="single" w:sz="4" w:space="0" w:color="auto"/>
              <w:bottom w:val="single" w:sz="4" w:space="0" w:color="auto"/>
              <w:right w:val="single" w:sz="8" w:space="0" w:color="000000"/>
            </w:tcBorders>
            <w:vAlign w:val="center"/>
          </w:tcPr>
          <w:p w14:paraId="5B992E32" w14:textId="77777777" w:rsidR="0021466C" w:rsidRPr="00BC23BA" w:rsidRDefault="0021466C" w:rsidP="00BC23BA">
            <w:pPr>
              <w:widowControl/>
              <w:adjustRightInd w:val="0"/>
              <w:snapToGrid w:val="0"/>
              <w:jc w:val="left"/>
              <w:rPr>
                <w:rFonts w:ascii="宋体" w:hAnsi="宋体"/>
                <w:color w:val="000000"/>
                <w:kern w:val="0"/>
                <w:szCs w:val="21"/>
              </w:rPr>
            </w:pPr>
          </w:p>
        </w:tc>
      </w:tr>
      <w:tr w:rsidR="003C7123" w:rsidRPr="00BC23BA" w14:paraId="03CF6892" w14:textId="77777777" w:rsidTr="002869E8">
        <w:trPr>
          <w:cantSplit/>
          <w:trHeight w:val="1390"/>
          <w:jc w:val="center"/>
        </w:trPr>
        <w:tc>
          <w:tcPr>
            <w:tcW w:w="621" w:type="pct"/>
            <w:tcBorders>
              <w:top w:val="nil"/>
              <w:left w:val="single" w:sz="8" w:space="0" w:color="auto"/>
              <w:bottom w:val="nil"/>
              <w:right w:val="single" w:sz="4" w:space="0" w:color="auto"/>
            </w:tcBorders>
            <w:vAlign w:val="center"/>
          </w:tcPr>
          <w:p w14:paraId="4CB31767" w14:textId="18FA5074"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承诺投资项目</w:t>
            </w:r>
          </w:p>
        </w:tc>
        <w:tc>
          <w:tcPr>
            <w:tcW w:w="306" w:type="pct"/>
            <w:tcBorders>
              <w:top w:val="nil"/>
              <w:left w:val="nil"/>
              <w:bottom w:val="nil"/>
              <w:right w:val="single" w:sz="4" w:space="0" w:color="auto"/>
            </w:tcBorders>
            <w:vAlign w:val="center"/>
          </w:tcPr>
          <w:p w14:paraId="0D95AB87"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已变更项目，含部分变更（如有）</w:t>
            </w:r>
          </w:p>
        </w:tc>
        <w:tc>
          <w:tcPr>
            <w:tcW w:w="403" w:type="pct"/>
            <w:tcBorders>
              <w:top w:val="nil"/>
              <w:left w:val="nil"/>
              <w:bottom w:val="nil"/>
              <w:right w:val="single" w:sz="4" w:space="0" w:color="auto"/>
            </w:tcBorders>
            <w:vAlign w:val="center"/>
          </w:tcPr>
          <w:p w14:paraId="41E21D1B"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募集资金承诺投资总额</w:t>
            </w:r>
          </w:p>
        </w:tc>
        <w:tc>
          <w:tcPr>
            <w:tcW w:w="427" w:type="pct"/>
            <w:tcBorders>
              <w:top w:val="nil"/>
              <w:left w:val="nil"/>
              <w:bottom w:val="nil"/>
              <w:right w:val="single" w:sz="4" w:space="0" w:color="auto"/>
            </w:tcBorders>
            <w:vAlign w:val="center"/>
          </w:tcPr>
          <w:p w14:paraId="1A835E17"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调整后投资总额</w:t>
            </w:r>
          </w:p>
        </w:tc>
        <w:tc>
          <w:tcPr>
            <w:tcW w:w="403" w:type="pct"/>
            <w:tcBorders>
              <w:top w:val="nil"/>
              <w:left w:val="nil"/>
              <w:bottom w:val="nil"/>
              <w:right w:val="single" w:sz="4" w:space="0" w:color="auto"/>
            </w:tcBorders>
            <w:vAlign w:val="center"/>
          </w:tcPr>
          <w:p w14:paraId="3CBD648F"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截至期末承诺投入金额(1)</w:t>
            </w:r>
          </w:p>
        </w:tc>
        <w:tc>
          <w:tcPr>
            <w:tcW w:w="257" w:type="pct"/>
            <w:tcBorders>
              <w:top w:val="nil"/>
              <w:left w:val="nil"/>
              <w:bottom w:val="nil"/>
              <w:right w:val="single" w:sz="4" w:space="0" w:color="auto"/>
            </w:tcBorders>
            <w:vAlign w:val="center"/>
          </w:tcPr>
          <w:p w14:paraId="48C7915F"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本年度投入金额</w:t>
            </w:r>
          </w:p>
        </w:tc>
        <w:tc>
          <w:tcPr>
            <w:tcW w:w="257" w:type="pct"/>
            <w:tcBorders>
              <w:top w:val="nil"/>
              <w:left w:val="nil"/>
              <w:bottom w:val="nil"/>
              <w:right w:val="single" w:sz="4" w:space="0" w:color="auto"/>
            </w:tcBorders>
            <w:vAlign w:val="center"/>
          </w:tcPr>
          <w:p w14:paraId="2B20D808"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截至期末累计投入金额(2)</w:t>
            </w:r>
          </w:p>
        </w:tc>
        <w:tc>
          <w:tcPr>
            <w:tcW w:w="468" w:type="pct"/>
            <w:tcBorders>
              <w:top w:val="nil"/>
              <w:left w:val="nil"/>
              <w:bottom w:val="nil"/>
              <w:right w:val="single" w:sz="4" w:space="0" w:color="auto"/>
            </w:tcBorders>
            <w:vAlign w:val="center"/>
          </w:tcPr>
          <w:p w14:paraId="260C81AD"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截至期末累计投入金额与承诺投入金额的差额(3)＝(2)-(1)</w:t>
            </w:r>
          </w:p>
        </w:tc>
        <w:tc>
          <w:tcPr>
            <w:tcW w:w="450" w:type="pct"/>
            <w:tcBorders>
              <w:top w:val="nil"/>
              <w:left w:val="nil"/>
              <w:bottom w:val="nil"/>
              <w:right w:val="single" w:sz="4" w:space="0" w:color="auto"/>
            </w:tcBorders>
            <w:vAlign w:val="center"/>
          </w:tcPr>
          <w:p w14:paraId="48D78A5C"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截至期末投入进度（%）(4)＝(2)/(1)</w:t>
            </w:r>
          </w:p>
        </w:tc>
        <w:tc>
          <w:tcPr>
            <w:tcW w:w="403" w:type="pct"/>
            <w:tcBorders>
              <w:top w:val="nil"/>
              <w:left w:val="nil"/>
              <w:bottom w:val="nil"/>
              <w:right w:val="single" w:sz="4" w:space="0" w:color="auto"/>
            </w:tcBorders>
            <w:vAlign w:val="center"/>
          </w:tcPr>
          <w:p w14:paraId="0FE3D453"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项目达到预定可使用状态日期</w:t>
            </w:r>
          </w:p>
        </w:tc>
        <w:tc>
          <w:tcPr>
            <w:tcW w:w="326" w:type="pct"/>
            <w:tcBorders>
              <w:top w:val="nil"/>
              <w:left w:val="nil"/>
              <w:bottom w:val="nil"/>
              <w:right w:val="single" w:sz="4" w:space="0" w:color="auto"/>
            </w:tcBorders>
            <w:vAlign w:val="center"/>
          </w:tcPr>
          <w:p w14:paraId="32553305"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本年度实现的效益</w:t>
            </w:r>
          </w:p>
        </w:tc>
        <w:tc>
          <w:tcPr>
            <w:tcW w:w="362" w:type="pct"/>
            <w:tcBorders>
              <w:top w:val="nil"/>
              <w:left w:val="nil"/>
              <w:bottom w:val="nil"/>
              <w:right w:val="single" w:sz="4" w:space="0" w:color="auto"/>
            </w:tcBorders>
            <w:vAlign w:val="center"/>
          </w:tcPr>
          <w:p w14:paraId="09930982"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是否达到预计效益</w:t>
            </w:r>
          </w:p>
        </w:tc>
        <w:tc>
          <w:tcPr>
            <w:tcW w:w="317" w:type="pct"/>
            <w:tcBorders>
              <w:top w:val="nil"/>
              <w:left w:val="nil"/>
              <w:bottom w:val="nil"/>
              <w:right w:val="single" w:sz="8" w:space="0" w:color="auto"/>
            </w:tcBorders>
            <w:vAlign w:val="center"/>
          </w:tcPr>
          <w:p w14:paraId="68E066AA" w14:textId="77777777" w:rsidR="0021466C" w:rsidRPr="00BC23BA" w:rsidRDefault="0021466C" w:rsidP="00BC23BA">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项目可行性是否发生重大变化</w:t>
            </w:r>
          </w:p>
        </w:tc>
      </w:tr>
      <w:tr w:rsidR="003D1111" w:rsidRPr="00BC23BA" w14:paraId="0676D499" w14:textId="77777777" w:rsidTr="002869E8">
        <w:trPr>
          <w:trHeight w:val="285"/>
          <w:jc w:val="center"/>
        </w:trPr>
        <w:tc>
          <w:tcPr>
            <w:tcW w:w="621" w:type="pct"/>
            <w:tcBorders>
              <w:top w:val="single" w:sz="4" w:space="0" w:color="auto"/>
              <w:left w:val="single" w:sz="8" w:space="0" w:color="auto"/>
              <w:bottom w:val="single" w:sz="4" w:space="0" w:color="auto"/>
              <w:right w:val="single" w:sz="4" w:space="0" w:color="auto"/>
            </w:tcBorders>
            <w:vAlign w:val="center"/>
          </w:tcPr>
          <w:p w14:paraId="46EB503A" w14:textId="64AAED2F" w:rsidR="003D1111" w:rsidRPr="00BC23BA" w:rsidRDefault="003D1111" w:rsidP="003D1111">
            <w:pPr>
              <w:widowControl/>
              <w:adjustRightInd w:val="0"/>
              <w:snapToGrid w:val="0"/>
              <w:jc w:val="center"/>
              <w:rPr>
                <w:rFonts w:ascii="宋体" w:hAnsi="宋体"/>
                <w:color w:val="000000"/>
                <w:kern w:val="0"/>
                <w:szCs w:val="21"/>
              </w:rPr>
            </w:pPr>
            <w:r w:rsidRPr="003C7123">
              <w:rPr>
                <w:rFonts w:ascii="宋体" w:hAnsi="宋体" w:hint="eastAsia"/>
                <w:color w:val="000000"/>
                <w:kern w:val="0"/>
                <w:szCs w:val="21"/>
              </w:rPr>
              <w:t>长沙赛恩斯环保工程技术有限公司成套环保设备生产基地建设项目</w:t>
            </w:r>
            <w:r w:rsidRPr="00BC23BA">
              <w:rPr>
                <w:rFonts w:ascii="宋体" w:hAnsi="宋体" w:hint="eastAsia"/>
                <w:color w:val="000000"/>
                <w:kern w:val="0"/>
                <w:szCs w:val="21"/>
              </w:rPr>
              <w:t xml:space="preserve">　</w:t>
            </w:r>
          </w:p>
        </w:tc>
        <w:tc>
          <w:tcPr>
            <w:tcW w:w="306" w:type="pct"/>
            <w:tcBorders>
              <w:top w:val="single" w:sz="4" w:space="0" w:color="auto"/>
              <w:left w:val="nil"/>
              <w:bottom w:val="single" w:sz="4" w:space="0" w:color="auto"/>
              <w:right w:val="single" w:sz="4" w:space="0" w:color="auto"/>
            </w:tcBorders>
            <w:vAlign w:val="center"/>
          </w:tcPr>
          <w:p w14:paraId="4C719AD5" w14:textId="1ADA2535"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否</w:t>
            </w:r>
            <w:r w:rsidRPr="00BC23BA">
              <w:rPr>
                <w:rFonts w:ascii="宋体" w:hAnsi="宋体" w:hint="eastAsia"/>
                <w:color w:val="000000"/>
                <w:kern w:val="0"/>
                <w:szCs w:val="21"/>
              </w:rPr>
              <w:t xml:space="preserve">　</w:t>
            </w:r>
          </w:p>
        </w:tc>
        <w:tc>
          <w:tcPr>
            <w:tcW w:w="403" w:type="pct"/>
            <w:tcBorders>
              <w:top w:val="single" w:sz="4" w:space="0" w:color="auto"/>
              <w:left w:val="nil"/>
              <w:bottom w:val="single" w:sz="4" w:space="0" w:color="auto"/>
              <w:right w:val="single" w:sz="4" w:space="0" w:color="auto"/>
            </w:tcBorders>
            <w:vAlign w:val="center"/>
          </w:tcPr>
          <w:p w14:paraId="3D4DCE72" w14:textId="088A75E5" w:rsidR="003D1111" w:rsidRPr="00BC23BA" w:rsidRDefault="003D1111" w:rsidP="003D1111">
            <w:pPr>
              <w:widowControl/>
              <w:adjustRightInd w:val="0"/>
              <w:snapToGrid w:val="0"/>
              <w:jc w:val="center"/>
              <w:rPr>
                <w:rFonts w:ascii="宋体" w:hAnsi="宋体"/>
                <w:color w:val="000000"/>
                <w:kern w:val="0"/>
                <w:szCs w:val="21"/>
              </w:rPr>
            </w:pPr>
            <w:r w:rsidRPr="003C7123">
              <w:rPr>
                <w:rFonts w:ascii="宋体" w:hAnsi="宋体"/>
                <w:color w:val="000000"/>
                <w:kern w:val="0"/>
                <w:szCs w:val="21"/>
              </w:rPr>
              <w:t>10,481.81</w:t>
            </w:r>
            <w:r w:rsidRPr="00BC23BA">
              <w:rPr>
                <w:rFonts w:ascii="宋体" w:hAnsi="宋体" w:hint="eastAsia"/>
                <w:color w:val="000000"/>
                <w:kern w:val="0"/>
                <w:szCs w:val="21"/>
              </w:rPr>
              <w:t xml:space="preserve">　</w:t>
            </w:r>
          </w:p>
        </w:tc>
        <w:tc>
          <w:tcPr>
            <w:tcW w:w="427" w:type="pct"/>
            <w:tcBorders>
              <w:top w:val="single" w:sz="4" w:space="0" w:color="auto"/>
              <w:left w:val="nil"/>
              <w:bottom w:val="single" w:sz="4" w:space="0" w:color="auto"/>
              <w:right w:val="single" w:sz="4" w:space="0" w:color="auto"/>
            </w:tcBorders>
            <w:vAlign w:val="center"/>
          </w:tcPr>
          <w:p w14:paraId="6CF5C8EC" w14:textId="73C74BFC"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olor w:val="000000"/>
                <w:kern w:val="0"/>
                <w:szCs w:val="21"/>
              </w:rPr>
              <w:t>/</w:t>
            </w:r>
            <w:r w:rsidRPr="00BC23BA">
              <w:rPr>
                <w:rFonts w:ascii="宋体" w:hAnsi="宋体" w:hint="eastAsia"/>
                <w:color w:val="000000"/>
                <w:kern w:val="0"/>
                <w:szCs w:val="21"/>
              </w:rPr>
              <w:t xml:space="preserve">　</w:t>
            </w:r>
          </w:p>
        </w:tc>
        <w:tc>
          <w:tcPr>
            <w:tcW w:w="403" w:type="pct"/>
            <w:tcBorders>
              <w:top w:val="single" w:sz="4" w:space="0" w:color="auto"/>
              <w:left w:val="nil"/>
              <w:bottom w:val="single" w:sz="4" w:space="0" w:color="auto"/>
              <w:right w:val="single" w:sz="4" w:space="0" w:color="auto"/>
            </w:tcBorders>
            <w:vAlign w:val="center"/>
          </w:tcPr>
          <w:p w14:paraId="2C29F9F3" w14:textId="2E10F2A3" w:rsidR="003D1111" w:rsidRPr="00BC23BA" w:rsidRDefault="003D1111" w:rsidP="003D1111">
            <w:pPr>
              <w:widowControl/>
              <w:adjustRightInd w:val="0"/>
              <w:snapToGrid w:val="0"/>
              <w:jc w:val="center"/>
              <w:rPr>
                <w:rFonts w:ascii="宋体" w:hAnsi="宋体"/>
                <w:color w:val="000000"/>
                <w:kern w:val="0"/>
                <w:szCs w:val="21"/>
              </w:rPr>
            </w:pPr>
            <w:r w:rsidRPr="003C7123">
              <w:rPr>
                <w:rFonts w:ascii="宋体" w:hAnsi="宋体"/>
                <w:color w:val="000000"/>
                <w:kern w:val="0"/>
                <w:szCs w:val="21"/>
              </w:rPr>
              <w:t>10,481.81</w:t>
            </w:r>
            <w:r w:rsidRPr="00BC23BA">
              <w:rPr>
                <w:rFonts w:ascii="宋体" w:hAnsi="宋体" w:hint="eastAsia"/>
                <w:color w:val="000000"/>
                <w:kern w:val="0"/>
                <w:szCs w:val="21"/>
              </w:rPr>
              <w:t xml:space="preserve">　</w:t>
            </w:r>
          </w:p>
        </w:tc>
        <w:tc>
          <w:tcPr>
            <w:tcW w:w="257" w:type="pct"/>
            <w:tcBorders>
              <w:top w:val="single" w:sz="4" w:space="0" w:color="auto"/>
              <w:left w:val="nil"/>
              <w:bottom w:val="single" w:sz="4" w:space="0" w:color="auto"/>
              <w:right w:val="single" w:sz="4" w:space="0" w:color="auto"/>
            </w:tcBorders>
            <w:vAlign w:val="center"/>
          </w:tcPr>
          <w:p w14:paraId="6166AEA0" w14:textId="3D770C3C"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9</w:t>
            </w:r>
            <w:r>
              <w:rPr>
                <w:rFonts w:ascii="宋体" w:hAnsi="宋体"/>
                <w:color w:val="000000"/>
                <w:kern w:val="0"/>
                <w:szCs w:val="21"/>
              </w:rPr>
              <w:t>9.98</w:t>
            </w:r>
            <w:r w:rsidRPr="00BC23BA">
              <w:rPr>
                <w:rFonts w:ascii="宋体" w:hAnsi="宋体" w:hint="eastAsia"/>
                <w:color w:val="000000"/>
                <w:kern w:val="0"/>
                <w:szCs w:val="21"/>
              </w:rPr>
              <w:t xml:space="preserve">　</w:t>
            </w:r>
          </w:p>
        </w:tc>
        <w:tc>
          <w:tcPr>
            <w:tcW w:w="257" w:type="pct"/>
            <w:tcBorders>
              <w:top w:val="single" w:sz="4" w:space="0" w:color="auto"/>
              <w:left w:val="nil"/>
              <w:bottom w:val="single" w:sz="4" w:space="0" w:color="auto"/>
              <w:right w:val="single" w:sz="4" w:space="0" w:color="auto"/>
            </w:tcBorders>
            <w:vAlign w:val="center"/>
          </w:tcPr>
          <w:p w14:paraId="3B4617AD" w14:textId="46259D1B"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9</w:t>
            </w:r>
            <w:r>
              <w:rPr>
                <w:rFonts w:ascii="宋体" w:hAnsi="宋体"/>
                <w:color w:val="000000"/>
                <w:kern w:val="0"/>
                <w:szCs w:val="21"/>
              </w:rPr>
              <w:t>9.98</w:t>
            </w:r>
            <w:r w:rsidRPr="00BC23BA">
              <w:rPr>
                <w:rFonts w:ascii="宋体" w:hAnsi="宋体" w:hint="eastAsia"/>
                <w:color w:val="000000"/>
                <w:kern w:val="0"/>
                <w:szCs w:val="21"/>
              </w:rPr>
              <w:t xml:space="preserve">　</w:t>
            </w:r>
          </w:p>
        </w:tc>
        <w:tc>
          <w:tcPr>
            <w:tcW w:w="468" w:type="pct"/>
            <w:tcBorders>
              <w:top w:val="single" w:sz="4" w:space="0" w:color="auto"/>
              <w:left w:val="nil"/>
              <w:bottom w:val="single" w:sz="4" w:space="0" w:color="auto"/>
              <w:right w:val="single" w:sz="4" w:space="0" w:color="auto"/>
            </w:tcBorders>
            <w:vAlign w:val="center"/>
          </w:tcPr>
          <w:p w14:paraId="0B0722BD" w14:textId="5291E889" w:rsidR="003D1111" w:rsidRPr="00BC23BA" w:rsidRDefault="003D1111" w:rsidP="003D1111">
            <w:pPr>
              <w:widowControl/>
              <w:adjustRightInd w:val="0"/>
              <w:snapToGrid w:val="0"/>
              <w:jc w:val="center"/>
              <w:rPr>
                <w:rFonts w:ascii="宋体" w:hAnsi="宋体"/>
                <w:color w:val="000000"/>
                <w:kern w:val="0"/>
                <w:szCs w:val="21"/>
              </w:rPr>
            </w:pPr>
            <w:r w:rsidRPr="003D1111">
              <w:rPr>
                <w:rFonts w:ascii="宋体" w:hAnsi="宋体" w:cs="宋体"/>
                <w:color w:val="000000"/>
                <w:kern w:val="0"/>
                <w:sz w:val="18"/>
                <w:szCs w:val="18"/>
                <w:lang w:bidi="ar"/>
              </w:rPr>
              <w:t>-10,381.83</w:t>
            </w:r>
          </w:p>
        </w:tc>
        <w:tc>
          <w:tcPr>
            <w:tcW w:w="450" w:type="pct"/>
            <w:tcBorders>
              <w:top w:val="single" w:sz="4" w:space="0" w:color="auto"/>
              <w:left w:val="nil"/>
              <w:bottom w:val="single" w:sz="4" w:space="0" w:color="auto"/>
              <w:right w:val="single" w:sz="4" w:space="0" w:color="auto"/>
            </w:tcBorders>
            <w:vAlign w:val="center"/>
          </w:tcPr>
          <w:p w14:paraId="2BCC6CCD" w14:textId="3EC1EFEC"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olor w:val="000000"/>
                <w:kern w:val="0"/>
                <w:szCs w:val="21"/>
              </w:rPr>
              <w:t>0.95</w:t>
            </w:r>
            <w:r w:rsidRPr="00BC23BA">
              <w:rPr>
                <w:rFonts w:ascii="宋体" w:hAnsi="宋体" w:hint="eastAsia"/>
                <w:color w:val="000000"/>
                <w:kern w:val="0"/>
                <w:szCs w:val="21"/>
              </w:rPr>
              <w:t xml:space="preserve">　</w:t>
            </w:r>
          </w:p>
        </w:tc>
        <w:tc>
          <w:tcPr>
            <w:tcW w:w="403" w:type="pct"/>
            <w:tcBorders>
              <w:top w:val="single" w:sz="4" w:space="0" w:color="auto"/>
              <w:left w:val="nil"/>
              <w:bottom w:val="single" w:sz="4" w:space="0" w:color="auto"/>
              <w:right w:val="single" w:sz="4" w:space="0" w:color="auto"/>
            </w:tcBorders>
            <w:vAlign w:val="center"/>
          </w:tcPr>
          <w:p w14:paraId="5C76BA87" w14:textId="0FFC5B21"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olor w:val="000000"/>
                <w:kern w:val="0"/>
                <w:szCs w:val="21"/>
              </w:rPr>
              <w:t>2024/2/29</w:t>
            </w:r>
          </w:p>
        </w:tc>
        <w:tc>
          <w:tcPr>
            <w:tcW w:w="326" w:type="pct"/>
            <w:tcBorders>
              <w:top w:val="single" w:sz="4" w:space="0" w:color="auto"/>
              <w:left w:val="nil"/>
              <w:bottom w:val="single" w:sz="4" w:space="0" w:color="auto"/>
              <w:right w:val="single" w:sz="4" w:space="0" w:color="auto"/>
            </w:tcBorders>
            <w:vAlign w:val="center"/>
          </w:tcPr>
          <w:p w14:paraId="51DEC6E0" w14:textId="6AB4A2BD"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c>
          <w:tcPr>
            <w:tcW w:w="362" w:type="pct"/>
            <w:tcBorders>
              <w:top w:val="single" w:sz="4" w:space="0" w:color="auto"/>
              <w:left w:val="nil"/>
              <w:bottom w:val="single" w:sz="4" w:space="0" w:color="auto"/>
              <w:right w:val="single" w:sz="4" w:space="0" w:color="auto"/>
            </w:tcBorders>
            <w:vAlign w:val="center"/>
          </w:tcPr>
          <w:p w14:paraId="6A80668D" w14:textId="3A0C2C43"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r w:rsidRPr="00BC23BA">
              <w:rPr>
                <w:rFonts w:ascii="宋体" w:hAnsi="宋体" w:hint="eastAsia"/>
                <w:color w:val="000000"/>
                <w:kern w:val="0"/>
                <w:szCs w:val="21"/>
              </w:rPr>
              <w:t xml:space="preserve">　</w:t>
            </w:r>
          </w:p>
        </w:tc>
        <w:tc>
          <w:tcPr>
            <w:tcW w:w="317" w:type="pct"/>
            <w:tcBorders>
              <w:top w:val="single" w:sz="4" w:space="0" w:color="auto"/>
              <w:left w:val="nil"/>
              <w:bottom w:val="single" w:sz="4" w:space="0" w:color="auto"/>
              <w:right w:val="single" w:sz="8" w:space="0" w:color="auto"/>
            </w:tcBorders>
            <w:vAlign w:val="center"/>
          </w:tcPr>
          <w:p w14:paraId="5AEB0DA2" w14:textId="1ECD8454"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否</w:t>
            </w:r>
            <w:r w:rsidRPr="00BC23BA">
              <w:rPr>
                <w:rFonts w:ascii="宋体" w:hAnsi="宋体" w:hint="eastAsia"/>
                <w:color w:val="000000"/>
                <w:kern w:val="0"/>
                <w:szCs w:val="21"/>
              </w:rPr>
              <w:t xml:space="preserve">　</w:t>
            </w:r>
          </w:p>
        </w:tc>
      </w:tr>
      <w:tr w:rsidR="003D1111" w:rsidRPr="00BC23BA" w14:paraId="2CFC0E57" w14:textId="77777777" w:rsidTr="002869E8">
        <w:trPr>
          <w:trHeight w:val="285"/>
          <w:jc w:val="center"/>
        </w:trPr>
        <w:tc>
          <w:tcPr>
            <w:tcW w:w="621" w:type="pct"/>
            <w:tcBorders>
              <w:top w:val="nil"/>
              <w:left w:val="single" w:sz="8" w:space="0" w:color="auto"/>
              <w:bottom w:val="single" w:sz="4" w:space="0" w:color="auto"/>
              <w:right w:val="single" w:sz="4" w:space="0" w:color="auto"/>
            </w:tcBorders>
            <w:vAlign w:val="center"/>
          </w:tcPr>
          <w:p w14:paraId="17C6B5C5" w14:textId="4BB44801" w:rsidR="003D1111" w:rsidRPr="00BC23BA" w:rsidRDefault="003D1111" w:rsidP="003D1111">
            <w:pPr>
              <w:widowControl/>
              <w:adjustRightInd w:val="0"/>
              <w:snapToGrid w:val="0"/>
              <w:jc w:val="center"/>
              <w:rPr>
                <w:rFonts w:ascii="宋体" w:hAnsi="宋体"/>
                <w:color w:val="000000"/>
                <w:kern w:val="0"/>
                <w:szCs w:val="21"/>
              </w:rPr>
            </w:pPr>
            <w:r w:rsidRPr="003C7123">
              <w:rPr>
                <w:rFonts w:ascii="宋体" w:hAnsi="宋体" w:hint="eastAsia"/>
                <w:color w:val="000000"/>
                <w:kern w:val="0"/>
                <w:szCs w:val="21"/>
              </w:rPr>
              <w:t>赛恩斯环保股份有限公司研发中心扩建项目</w:t>
            </w:r>
            <w:r w:rsidRPr="00BC23BA">
              <w:rPr>
                <w:rFonts w:ascii="宋体" w:hAnsi="宋体" w:hint="eastAsia"/>
                <w:color w:val="000000"/>
                <w:kern w:val="0"/>
                <w:szCs w:val="21"/>
              </w:rPr>
              <w:t xml:space="preserve">　</w:t>
            </w:r>
          </w:p>
        </w:tc>
        <w:tc>
          <w:tcPr>
            <w:tcW w:w="306" w:type="pct"/>
            <w:tcBorders>
              <w:top w:val="nil"/>
              <w:left w:val="nil"/>
              <w:bottom w:val="single" w:sz="4" w:space="0" w:color="auto"/>
              <w:right w:val="single" w:sz="4" w:space="0" w:color="auto"/>
            </w:tcBorders>
            <w:vAlign w:val="center"/>
          </w:tcPr>
          <w:p w14:paraId="3D380548" w14:textId="3DD22C0F"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否</w:t>
            </w:r>
            <w:r w:rsidRPr="00BC23BA">
              <w:rPr>
                <w:rFonts w:ascii="宋体" w:hAnsi="宋体" w:hint="eastAsia"/>
                <w:color w:val="000000"/>
                <w:kern w:val="0"/>
                <w:szCs w:val="21"/>
              </w:rPr>
              <w:t xml:space="preserve">　</w:t>
            </w:r>
          </w:p>
        </w:tc>
        <w:tc>
          <w:tcPr>
            <w:tcW w:w="403" w:type="pct"/>
            <w:tcBorders>
              <w:top w:val="nil"/>
              <w:left w:val="nil"/>
              <w:bottom w:val="single" w:sz="4" w:space="0" w:color="auto"/>
              <w:right w:val="single" w:sz="4" w:space="0" w:color="auto"/>
            </w:tcBorders>
            <w:vAlign w:val="center"/>
          </w:tcPr>
          <w:p w14:paraId="292F7645" w14:textId="359E5B97" w:rsidR="003D1111" w:rsidRPr="00BC23BA" w:rsidRDefault="003D1111" w:rsidP="003D1111">
            <w:pPr>
              <w:widowControl/>
              <w:adjustRightInd w:val="0"/>
              <w:snapToGrid w:val="0"/>
              <w:jc w:val="center"/>
              <w:rPr>
                <w:rFonts w:ascii="宋体" w:hAnsi="宋体"/>
                <w:color w:val="000000"/>
                <w:kern w:val="0"/>
                <w:szCs w:val="21"/>
              </w:rPr>
            </w:pPr>
            <w:r w:rsidRPr="003C7123">
              <w:rPr>
                <w:rFonts w:ascii="宋体" w:hAnsi="宋体"/>
                <w:color w:val="000000"/>
                <w:kern w:val="0"/>
                <w:szCs w:val="21"/>
              </w:rPr>
              <w:t>7,085.00</w:t>
            </w:r>
            <w:r w:rsidRPr="00BC23BA">
              <w:rPr>
                <w:rFonts w:ascii="宋体" w:hAnsi="宋体" w:hint="eastAsia"/>
                <w:color w:val="000000"/>
                <w:kern w:val="0"/>
                <w:szCs w:val="21"/>
              </w:rPr>
              <w:t xml:space="preserve">　</w:t>
            </w:r>
          </w:p>
        </w:tc>
        <w:tc>
          <w:tcPr>
            <w:tcW w:w="427" w:type="pct"/>
            <w:tcBorders>
              <w:top w:val="nil"/>
              <w:left w:val="nil"/>
              <w:bottom w:val="single" w:sz="4" w:space="0" w:color="auto"/>
              <w:right w:val="single" w:sz="4" w:space="0" w:color="auto"/>
            </w:tcBorders>
            <w:vAlign w:val="center"/>
          </w:tcPr>
          <w:p w14:paraId="1CD90A1D" w14:textId="0359FD9A"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olor w:val="000000"/>
                <w:kern w:val="0"/>
                <w:szCs w:val="21"/>
              </w:rPr>
              <w:t>/</w:t>
            </w:r>
          </w:p>
        </w:tc>
        <w:tc>
          <w:tcPr>
            <w:tcW w:w="403" w:type="pct"/>
            <w:tcBorders>
              <w:top w:val="nil"/>
              <w:left w:val="nil"/>
              <w:bottom w:val="single" w:sz="4" w:space="0" w:color="auto"/>
              <w:right w:val="single" w:sz="4" w:space="0" w:color="auto"/>
            </w:tcBorders>
            <w:vAlign w:val="center"/>
          </w:tcPr>
          <w:p w14:paraId="4D65B43B" w14:textId="3AD126A2" w:rsidR="003D1111" w:rsidRPr="00BC23BA" w:rsidRDefault="003D1111" w:rsidP="003D1111">
            <w:pPr>
              <w:widowControl/>
              <w:adjustRightInd w:val="0"/>
              <w:snapToGrid w:val="0"/>
              <w:jc w:val="center"/>
              <w:rPr>
                <w:rFonts w:ascii="宋体" w:hAnsi="宋体"/>
                <w:color w:val="000000"/>
                <w:kern w:val="0"/>
                <w:szCs w:val="21"/>
              </w:rPr>
            </w:pPr>
            <w:r w:rsidRPr="003C7123">
              <w:rPr>
                <w:rFonts w:ascii="宋体" w:hAnsi="宋体"/>
                <w:color w:val="000000"/>
                <w:kern w:val="0"/>
                <w:szCs w:val="21"/>
              </w:rPr>
              <w:t>7,085.00</w:t>
            </w:r>
            <w:r w:rsidRPr="00BC23BA">
              <w:rPr>
                <w:rFonts w:ascii="宋体" w:hAnsi="宋体" w:hint="eastAsia"/>
                <w:color w:val="000000"/>
                <w:kern w:val="0"/>
                <w:szCs w:val="21"/>
              </w:rPr>
              <w:t xml:space="preserve">　</w:t>
            </w:r>
          </w:p>
        </w:tc>
        <w:tc>
          <w:tcPr>
            <w:tcW w:w="257" w:type="pct"/>
            <w:tcBorders>
              <w:top w:val="nil"/>
              <w:left w:val="nil"/>
              <w:bottom w:val="single" w:sz="4" w:space="0" w:color="auto"/>
              <w:right w:val="single" w:sz="4" w:space="0" w:color="auto"/>
            </w:tcBorders>
            <w:vAlign w:val="center"/>
          </w:tcPr>
          <w:p w14:paraId="51C01007" w14:textId="4C29B9C3"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0</w:t>
            </w:r>
            <w:r w:rsidRPr="00BC23BA">
              <w:rPr>
                <w:rFonts w:ascii="宋体" w:hAnsi="宋体" w:hint="eastAsia"/>
                <w:color w:val="000000"/>
                <w:kern w:val="0"/>
                <w:szCs w:val="21"/>
              </w:rPr>
              <w:t xml:space="preserve">　</w:t>
            </w:r>
          </w:p>
        </w:tc>
        <w:tc>
          <w:tcPr>
            <w:tcW w:w="257" w:type="pct"/>
            <w:tcBorders>
              <w:top w:val="nil"/>
              <w:left w:val="nil"/>
              <w:bottom w:val="single" w:sz="4" w:space="0" w:color="auto"/>
              <w:right w:val="single" w:sz="4" w:space="0" w:color="auto"/>
            </w:tcBorders>
            <w:vAlign w:val="center"/>
          </w:tcPr>
          <w:p w14:paraId="5033B927" w14:textId="2C08F4A5"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0</w:t>
            </w:r>
            <w:r w:rsidRPr="00BC23BA">
              <w:rPr>
                <w:rFonts w:ascii="宋体" w:hAnsi="宋体" w:hint="eastAsia"/>
                <w:color w:val="000000"/>
                <w:kern w:val="0"/>
                <w:szCs w:val="21"/>
              </w:rPr>
              <w:t xml:space="preserve">　</w:t>
            </w:r>
          </w:p>
        </w:tc>
        <w:tc>
          <w:tcPr>
            <w:tcW w:w="468" w:type="pct"/>
            <w:tcBorders>
              <w:top w:val="nil"/>
              <w:left w:val="nil"/>
              <w:bottom w:val="single" w:sz="4" w:space="0" w:color="auto"/>
              <w:right w:val="single" w:sz="4" w:space="0" w:color="auto"/>
            </w:tcBorders>
            <w:vAlign w:val="center"/>
          </w:tcPr>
          <w:p w14:paraId="6B52FA7C" w14:textId="7BC9653B"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s="宋体" w:hint="eastAsia"/>
                <w:color w:val="000000"/>
                <w:kern w:val="0"/>
                <w:sz w:val="18"/>
                <w:szCs w:val="18"/>
                <w:lang w:bidi="ar"/>
              </w:rPr>
              <w:t>-</w:t>
            </w:r>
            <w:r w:rsidRPr="003C7123">
              <w:rPr>
                <w:rFonts w:ascii="宋体" w:hAnsi="宋体"/>
                <w:color w:val="000000"/>
                <w:kern w:val="0"/>
                <w:szCs w:val="21"/>
              </w:rPr>
              <w:t>7,085.00</w:t>
            </w:r>
            <w:r>
              <w:rPr>
                <w:rFonts w:ascii="宋体" w:hAnsi="宋体" w:cs="宋体" w:hint="eastAsia"/>
                <w:color w:val="000000"/>
                <w:kern w:val="0"/>
                <w:sz w:val="18"/>
                <w:szCs w:val="18"/>
                <w:lang w:bidi="ar"/>
              </w:rPr>
              <w:t xml:space="preserve"> </w:t>
            </w:r>
          </w:p>
        </w:tc>
        <w:tc>
          <w:tcPr>
            <w:tcW w:w="450" w:type="pct"/>
            <w:tcBorders>
              <w:top w:val="nil"/>
              <w:left w:val="nil"/>
              <w:bottom w:val="single" w:sz="4" w:space="0" w:color="auto"/>
              <w:right w:val="single" w:sz="4" w:space="0" w:color="auto"/>
            </w:tcBorders>
            <w:vAlign w:val="center"/>
          </w:tcPr>
          <w:p w14:paraId="696067C6" w14:textId="1F24C941"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w:t>
            </w:r>
            <w:r w:rsidRPr="00BC23BA">
              <w:rPr>
                <w:rFonts w:ascii="宋体" w:hAnsi="宋体" w:hint="eastAsia"/>
                <w:color w:val="000000"/>
                <w:kern w:val="0"/>
                <w:szCs w:val="21"/>
              </w:rPr>
              <w:t xml:space="preserve">　</w:t>
            </w:r>
          </w:p>
        </w:tc>
        <w:tc>
          <w:tcPr>
            <w:tcW w:w="403" w:type="pct"/>
            <w:tcBorders>
              <w:top w:val="nil"/>
              <w:left w:val="nil"/>
              <w:bottom w:val="single" w:sz="4" w:space="0" w:color="auto"/>
              <w:right w:val="single" w:sz="4" w:space="0" w:color="auto"/>
            </w:tcBorders>
            <w:vAlign w:val="center"/>
          </w:tcPr>
          <w:p w14:paraId="3279F32B" w14:textId="366A6410" w:rsidR="003D1111" w:rsidRPr="00BC23BA" w:rsidRDefault="003D1111" w:rsidP="003D1111">
            <w:pPr>
              <w:widowControl/>
              <w:adjustRightInd w:val="0"/>
              <w:snapToGrid w:val="0"/>
              <w:jc w:val="center"/>
              <w:rPr>
                <w:rFonts w:ascii="宋体" w:hAnsi="宋体"/>
                <w:color w:val="000000"/>
                <w:kern w:val="0"/>
                <w:szCs w:val="21"/>
              </w:rPr>
            </w:pPr>
            <w:r w:rsidRPr="003D1111">
              <w:rPr>
                <w:rFonts w:ascii="宋体" w:hAnsi="宋体" w:hint="eastAsia"/>
                <w:color w:val="000000"/>
                <w:kern w:val="0"/>
                <w:szCs w:val="21"/>
              </w:rPr>
              <w:t>2024/10/7</w:t>
            </w:r>
          </w:p>
        </w:tc>
        <w:tc>
          <w:tcPr>
            <w:tcW w:w="326" w:type="pct"/>
            <w:tcBorders>
              <w:top w:val="nil"/>
              <w:left w:val="nil"/>
              <w:bottom w:val="single" w:sz="4" w:space="0" w:color="auto"/>
              <w:right w:val="single" w:sz="4" w:space="0" w:color="auto"/>
            </w:tcBorders>
            <w:vAlign w:val="center"/>
          </w:tcPr>
          <w:p w14:paraId="0B72831A" w14:textId="1A010C08"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c>
          <w:tcPr>
            <w:tcW w:w="362" w:type="pct"/>
            <w:tcBorders>
              <w:top w:val="nil"/>
              <w:left w:val="nil"/>
              <w:bottom w:val="single" w:sz="4" w:space="0" w:color="auto"/>
              <w:right w:val="single" w:sz="4" w:space="0" w:color="auto"/>
            </w:tcBorders>
            <w:vAlign w:val="center"/>
          </w:tcPr>
          <w:p w14:paraId="431C450D" w14:textId="3B52C160"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c>
          <w:tcPr>
            <w:tcW w:w="317" w:type="pct"/>
            <w:tcBorders>
              <w:top w:val="nil"/>
              <w:left w:val="nil"/>
              <w:bottom w:val="single" w:sz="4" w:space="0" w:color="auto"/>
              <w:right w:val="single" w:sz="8" w:space="0" w:color="auto"/>
            </w:tcBorders>
            <w:vAlign w:val="center"/>
          </w:tcPr>
          <w:p w14:paraId="2E91DDF0" w14:textId="4D5A5D03"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否</w:t>
            </w:r>
            <w:r w:rsidRPr="00BC23BA">
              <w:rPr>
                <w:rFonts w:ascii="宋体" w:hAnsi="宋体" w:hint="eastAsia"/>
                <w:color w:val="000000"/>
                <w:kern w:val="0"/>
                <w:szCs w:val="21"/>
              </w:rPr>
              <w:t xml:space="preserve">　</w:t>
            </w:r>
          </w:p>
        </w:tc>
      </w:tr>
      <w:tr w:rsidR="003D1111" w:rsidRPr="00BC23BA" w14:paraId="1FB3F994" w14:textId="77777777" w:rsidTr="002869E8">
        <w:trPr>
          <w:trHeight w:val="386"/>
          <w:jc w:val="center"/>
        </w:trPr>
        <w:tc>
          <w:tcPr>
            <w:tcW w:w="621" w:type="pct"/>
            <w:tcBorders>
              <w:top w:val="nil"/>
              <w:left w:val="single" w:sz="8" w:space="0" w:color="auto"/>
              <w:bottom w:val="single" w:sz="4" w:space="0" w:color="auto"/>
              <w:right w:val="single" w:sz="4" w:space="0" w:color="auto"/>
            </w:tcBorders>
            <w:vAlign w:val="center"/>
          </w:tcPr>
          <w:p w14:paraId="19350C9C" w14:textId="5E897A2C" w:rsidR="003D1111" w:rsidRPr="00BC23BA" w:rsidRDefault="003D1111" w:rsidP="003D1111">
            <w:pPr>
              <w:widowControl/>
              <w:adjustRightInd w:val="0"/>
              <w:snapToGrid w:val="0"/>
              <w:jc w:val="center"/>
              <w:rPr>
                <w:rFonts w:ascii="宋体" w:hAnsi="宋体"/>
                <w:color w:val="000000"/>
                <w:kern w:val="0"/>
                <w:szCs w:val="21"/>
              </w:rPr>
            </w:pPr>
            <w:r w:rsidRPr="00181FE6">
              <w:rPr>
                <w:rFonts w:ascii="宋体" w:hAnsi="宋体" w:hint="eastAsia"/>
                <w:color w:val="000000"/>
                <w:kern w:val="0"/>
                <w:szCs w:val="21"/>
              </w:rPr>
              <w:t>补充流动资金项目</w:t>
            </w:r>
          </w:p>
        </w:tc>
        <w:tc>
          <w:tcPr>
            <w:tcW w:w="306" w:type="pct"/>
            <w:tcBorders>
              <w:top w:val="nil"/>
              <w:left w:val="nil"/>
              <w:bottom w:val="single" w:sz="4" w:space="0" w:color="auto"/>
              <w:right w:val="single" w:sz="4" w:space="0" w:color="auto"/>
            </w:tcBorders>
            <w:vAlign w:val="center"/>
          </w:tcPr>
          <w:p w14:paraId="23316D27" w14:textId="5B20C8D8"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否</w:t>
            </w:r>
          </w:p>
        </w:tc>
        <w:tc>
          <w:tcPr>
            <w:tcW w:w="403" w:type="pct"/>
            <w:tcBorders>
              <w:top w:val="nil"/>
              <w:left w:val="nil"/>
              <w:bottom w:val="single" w:sz="4" w:space="0" w:color="auto"/>
              <w:right w:val="single" w:sz="4" w:space="0" w:color="auto"/>
            </w:tcBorders>
            <w:vAlign w:val="center"/>
          </w:tcPr>
          <w:p w14:paraId="3A3538A6" w14:textId="2EB9C532" w:rsidR="003D1111" w:rsidRDefault="003D1111" w:rsidP="003D1111">
            <w:pPr>
              <w:widowControl/>
              <w:adjustRightInd w:val="0"/>
              <w:snapToGrid w:val="0"/>
              <w:jc w:val="center"/>
              <w:rPr>
                <w:rFonts w:ascii="宋体" w:hAnsi="宋体"/>
                <w:color w:val="000000"/>
                <w:kern w:val="0"/>
                <w:szCs w:val="21"/>
              </w:rPr>
            </w:pPr>
            <w:r w:rsidRPr="00181FE6">
              <w:rPr>
                <w:rFonts w:ascii="宋体" w:hAnsi="宋体"/>
                <w:color w:val="000000"/>
                <w:kern w:val="0"/>
                <w:szCs w:val="21"/>
              </w:rPr>
              <w:t>7,433.19</w:t>
            </w:r>
          </w:p>
        </w:tc>
        <w:tc>
          <w:tcPr>
            <w:tcW w:w="427" w:type="pct"/>
            <w:tcBorders>
              <w:top w:val="nil"/>
              <w:left w:val="nil"/>
              <w:bottom w:val="single" w:sz="4" w:space="0" w:color="auto"/>
              <w:right w:val="single" w:sz="4" w:space="0" w:color="auto"/>
            </w:tcBorders>
            <w:vAlign w:val="center"/>
          </w:tcPr>
          <w:p w14:paraId="26CB1D16" w14:textId="1D0DFA47" w:rsidR="003D1111" w:rsidRDefault="003D1111" w:rsidP="003D1111">
            <w:pPr>
              <w:widowControl/>
              <w:adjustRightInd w:val="0"/>
              <w:snapToGrid w:val="0"/>
              <w:jc w:val="center"/>
              <w:rPr>
                <w:rFonts w:ascii="宋体" w:hAnsi="宋体"/>
                <w:color w:val="000000"/>
                <w:kern w:val="0"/>
                <w:szCs w:val="21"/>
              </w:rPr>
            </w:pPr>
            <w:r>
              <w:rPr>
                <w:rFonts w:ascii="宋体" w:hAnsi="宋体"/>
                <w:color w:val="000000"/>
                <w:kern w:val="0"/>
                <w:szCs w:val="21"/>
              </w:rPr>
              <w:t>/</w:t>
            </w:r>
          </w:p>
        </w:tc>
        <w:tc>
          <w:tcPr>
            <w:tcW w:w="403" w:type="pct"/>
            <w:tcBorders>
              <w:top w:val="nil"/>
              <w:left w:val="nil"/>
              <w:bottom w:val="single" w:sz="4" w:space="0" w:color="auto"/>
              <w:right w:val="single" w:sz="4" w:space="0" w:color="auto"/>
            </w:tcBorders>
            <w:vAlign w:val="center"/>
          </w:tcPr>
          <w:p w14:paraId="5927943B" w14:textId="67E0198E" w:rsidR="003D1111" w:rsidRPr="00BC23BA" w:rsidRDefault="003D1111" w:rsidP="003D1111">
            <w:pPr>
              <w:widowControl/>
              <w:adjustRightInd w:val="0"/>
              <w:snapToGrid w:val="0"/>
              <w:jc w:val="center"/>
              <w:rPr>
                <w:rFonts w:ascii="宋体" w:hAnsi="宋体"/>
                <w:color w:val="000000"/>
                <w:kern w:val="0"/>
                <w:szCs w:val="21"/>
              </w:rPr>
            </w:pPr>
            <w:r w:rsidRPr="00181FE6">
              <w:rPr>
                <w:rFonts w:ascii="宋体" w:hAnsi="宋体"/>
                <w:color w:val="000000"/>
                <w:kern w:val="0"/>
                <w:szCs w:val="21"/>
              </w:rPr>
              <w:t>7,433.19</w:t>
            </w:r>
          </w:p>
        </w:tc>
        <w:tc>
          <w:tcPr>
            <w:tcW w:w="257" w:type="pct"/>
            <w:tcBorders>
              <w:top w:val="nil"/>
              <w:left w:val="nil"/>
              <w:bottom w:val="single" w:sz="4" w:space="0" w:color="auto"/>
              <w:right w:val="single" w:sz="4" w:space="0" w:color="auto"/>
            </w:tcBorders>
            <w:vAlign w:val="center"/>
          </w:tcPr>
          <w:p w14:paraId="5E6E80F6" w14:textId="443843DB" w:rsidR="003D1111"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0</w:t>
            </w:r>
          </w:p>
        </w:tc>
        <w:tc>
          <w:tcPr>
            <w:tcW w:w="257" w:type="pct"/>
            <w:tcBorders>
              <w:top w:val="nil"/>
              <w:left w:val="nil"/>
              <w:bottom w:val="single" w:sz="4" w:space="0" w:color="auto"/>
              <w:right w:val="single" w:sz="4" w:space="0" w:color="auto"/>
            </w:tcBorders>
            <w:vAlign w:val="center"/>
          </w:tcPr>
          <w:p w14:paraId="50563BED" w14:textId="3D8FF775" w:rsidR="003D1111"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0</w:t>
            </w:r>
          </w:p>
        </w:tc>
        <w:tc>
          <w:tcPr>
            <w:tcW w:w="468" w:type="pct"/>
            <w:tcBorders>
              <w:top w:val="nil"/>
              <w:left w:val="nil"/>
              <w:bottom w:val="single" w:sz="4" w:space="0" w:color="auto"/>
              <w:right w:val="single" w:sz="4" w:space="0" w:color="auto"/>
            </w:tcBorders>
            <w:vAlign w:val="center"/>
          </w:tcPr>
          <w:p w14:paraId="1745D5C8" w14:textId="4C2DE94A"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s="宋体" w:hint="eastAsia"/>
                <w:color w:val="000000"/>
                <w:kern w:val="0"/>
                <w:sz w:val="18"/>
                <w:szCs w:val="18"/>
                <w:lang w:bidi="ar"/>
              </w:rPr>
              <w:t xml:space="preserve">-7,433.19 </w:t>
            </w:r>
          </w:p>
        </w:tc>
        <w:tc>
          <w:tcPr>
            <w:tcW w:w="450" w:type="pct"/>
            <w:tcBorders>
              <w:top w:val="nil"/>
              <w:left w:val="nil"/>
              <w:bottom w:val="single" w:sz="4" w:space="0" w:color="auto"/>
              <w:right w:val="single" w:sz="4" w:space="0" w:color="auto"/>
            </w:tcBorders>
            <w:vAlign w:val="center"/>
          </w:tcPr>
          <w:p w14:paraId="6D271599" w14:textId="619D58EC"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w:t>
            </w:r>
          </w:p>
        </w:tc>
        <w:tc>
          <w:tcPr>
            <w:tcW w:w="403" w:type="pct"/>
            <w:tcBorders>
              <w:top w:val="nil"/>
              <w:left w:val="nil"/>
              <w:bottom w:val="single" w:sz="4" w:space="0" w:color="auto"/>
              <w:right w:val="single" w:sz="4" w:space="0" w:color="auto"/>
            </w:tcBorders>
            <w:vAlign w:val="center"/>
          </w:tcPr>
          <w:p w14:paraId="0F74746A" w14:textId="580C35DA"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c>
          <w:tcPr>
            <w:tcW w:w="326" w:type="pct"/>
            <w:tcBorders>
              <w:top w:val="nil"/>
              <w:left w:val="nil"/>
              <w:bottom w:val="single" w:sz="4" w:space="0" w:color="auto"/>
              <w:right w:val="single" w:sz="4" w:space="0" w:color="auto"/>
            </w:tcBorders>
            <w:vAlign w:val="center"/>
          </w:tcPr>
          <w:p w14:paraId="01A2B44B" w14:textId="024D0EA3"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c>
          <w:tcPr>
            <w:tcW w:w="362" w:type="pct"/>
            <w:tcBorders>
              <w:top w:val="nil"/>
              <w:left w:val="nil"/>
              <w:bottom w:val="single" w:sz="4" w:space="0" w:color="auto"/>
              <w:right w:val="single" w:sz="4" w:space="0" w:color="auto"/>
            </w:tcBorders>
            <w:vAlign w:val="center"/>
          </w:tcPr>
          <w:p w14:paraId="59EB540C" w14:textId="61373677"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c>
          <w:tcPr>
            <w:tcW w:w="317" w:type="pct"/>
            <w:tcBorders>
              <w:top w:val="nil"/>
              <w:left w:val="nil"/>
              <w:bottom w:val="single" w:sz="4" w:space="0" w:color="auto"/>
              <w:right w:val="single" w:sz="8" w:space="0" w:color="auto"/>
            </w:tcBorders>
            <w:vAlign w:val="center"/>
          </w:tcPr>
          <w:p w14:paraId="3404300C" w14:textId="7075C61D"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不适用</w:t>
            </w:r>
          </w:p>
        </w:tc>
      </w:tr>
      <w:tr w:rsidR="003D1111" w:rsidRPr="00BC23BA" w14:paraId="27198CC6" w14:textId="77777777" w:rsidTr="002869E8">
        <w:trPr>
          <w:trHeight w:val="386"/>
          <w:jc w:val="center"/>
        </w:trPr>
        <w:tc>
          <w:tcPr>
            <w:tcW w:w="621" w:type="pct"/>
            <w:tcBorders>
              <w:top w:val="nil"/>
              <w:left w:val="single" w:sz="8" w:space="0" w:color="auto"/>
              <w:bottom w:val="single" w:sz="4" w:space="0" w:color="auto"/>
              <w:right w:val="single" w:sz="4" w:space="0" w:color="auto"/>
            </w:tcBorders>
            <w:vAlign w:val="center"/>
          </w:tcPr>
          <w:p w14:paraId="5CBEE463" w14:textId="77777777" w:rsidR="003D1111" w:rsidRPr="00BC23BA" w:rsidRDefault="003D1111" w:rsidP="003D1111">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合计</w:t>
            </w:r>
          </w:p>
        </w:tc>
        <w:tc>
          <w:tcPr>
            <w:tcW w:w="306" w:type="pct"/>
            <w:tcBorders>
              <w:top w:val="nil"/>
              <w:left w:val="nil"/>
              <w:bottom w:val="single" w:sz="4" w:space="0" w:color="auto"/>
              <w:right w:val="single" w:sz="4" w:space="0" w:color="auto"/>
            </w:tcBorders>
            <w:vAlign w:val="center"/>
          </w:tcPr>
          <w:p w14:paraId="224CA06E" w14:textId="77777777" w:rsidR="003D1111" w:rsidRPr="00BC23BA" w:rsidRDefault="003D1111" w:rsidP="003D1111">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w:t>
            </w:r>
          </w:p>
        </w:tc>
        <w:tc>
          <w:tcPr>
            <w:tcW w:w="403" w:type="pct"/>
            <w:tcBorders>
              <w:top w:val="nil"/>
              <w:left w:val="nil"/>
              <w:bottom w:val="single" w:sz="4" w:space="0" w:color="auto"/>
              <w:right w:val="single" w:sz="4" w:space="0" w:color="auto"/>
            </w:tcBorders>
            <w:vAlign w:val="center"/>
          </w:tcPr>
          <w:p w14:paraId="70B3561A" w14:textId="4FD3D8CB" w:rsidR="003D1111" w:rsidRPr="00BC23BA" w:rsidRDefault="003D1111" w:rsidP="003D1111">
            <w:pPr>
              <w:widowControl/>
              <w:adjustRightInd w:val="0"/>
              <w:snapToGrid w:val="0"/>
              <w:jc w:val="center"/>
              <w:rPr>
                <w:rFonts w:ascii="宋体" w:hAnsi="宋体"/>
                <w:color w:val="000000"/>
                <w:kern w:val="0"/>
                <w:szCs w:val="21"/>
              </w:rPr>
            </w:pPr>
            <w:r w:rsidRPr="003D1111">
              <w:rPr>
                <w:rFonts w:ascii="宋体" w:hAnsi="宋体"/>
                <w:color w:val="000000"/>
                <w:kern w:val="0"/>
                <w:szCs w:val="21"/>
              </w:rPr>
              <w:t>25,000.00</w:t>
            </w:r>
          </w:p>
        </w:tc>
        <w:tc>
          <w:tcPr>
            <w:tcW w:w="427" w:type="pct"/>
            <w:tcBorders>
              <w:top w:val="nil"/>
              <w:left w:val="nil"/>
              <w:bottom w:val="single" w:sz="4" w:space="0" w:color="auto"/>
              <w:right w:val="single" w:sz="4" w:space="0" w:color="auto"/>
            </w:tcBorders>
            <w:vAlign w:val="center"/>
          </w:tcPr>
          <w:p w14:paraId="2AFB21DA" w14:textId="2455B91A"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w:t>
            </w:r>
          </w:p>
        </w:tc>
        <w:tc>
          <w:tcPr>
            <w:tcW w:w="403" w:type="pct"/>
            <w:tcBorders>
              <w:top w:val="nil"/>
              <w:left w:val="nil"/>
              <w:bottom w:val="single" w:sz="4" w:space="0" w:color="auto"/>
              <w:right w:val="single" w:sz="4" w:space="0" w:color="auto"/>
            </w:tcBorders>
            <w:vAlign w:val="center"/>
          </w:tcPr>
          <w:p w14:paraId="7F4E6C27" w14:textId="138D59F8" w:rsidR="003D1111" w:rsidRPr="00BC23BA" w:rsidRDefault="003D1111" w:rsidP="003D1111">
            <w:pPr>
              <w:widowControl/>
              <w:adjustRightInd w:val="0"/>
              <w:snapToGrid w:val="0"/>
              <w:jc w:val="center"/>
              <w:rPr>
                <w:rFonts w:ascii="宋体" w:hAnsi="宋体"/>
                <w:color w:val="000000"/>
                <w:kern w:val="0"/>
                <w:szCs w:val="21"/>
              </w:rPr>
            </w:pPr>
            <w:r w:rsidRPr="003D1111">
              <w:rPr>
                <w:rFonts w:ascii="宋体" w:hAnsi="宋体"/>
                <w:color w:val="000000"/>
                <w:kern w:val="0"/>
                <w:szCs w:val="21"/>
              </w:rPr>
              <w:t>25,000.00</w:t>
            </w:r>
          </w:p>
        </w:tc>
        <w:tc>
          <w:tcPr>
            <w:tcW w:w="257" w:type="pct"/>
            <w:tcBorders>
              <w:top w:val="nil"/>
              <w:left w:val="nil"/>
              <w:bottom w:val="single" w:sz="4" w:space="0" w:color="auto"/>
              <w:right w:val="single" w:sz="4" w:space="0" w:color="auto"/>
            </w:tcBorders>
            <w:vAlign w:val="center"/>
          </w:tcPr>
          <w:p w14:paraId="7E980AB3" w14:textId="1CB70120"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9</w:t>
            </w:r>
            <w:r>
              <w:rPr>
                <w:rFonts w:ascii="宋体" w:hAnsi="宋体"/>
                <w:color w:val="000000"/>
                <w:kern w:val="0"/>
                <w:szCs w:val="21"/>
              </w:rPr>
              <w:t>9.98</w:t>
            </w:r>
          </w:p>
        </w:tc>
        <w:tc>
          <w:tcPr>
            <w:tcW w:w="257" w:type="pct"/>
            <w:tcBorders>
              <w:top w:val="nil"/>
              <w:left w:val="nil"/>
              <w:bottom w:val="single" w:sz="4" w:space="0" w:color="auto"/>
              <w:right w:val="single" w:sz="4" w:space="0" w:color="auto"/>
            </w:tcBorders>
            <w:vAlign w:val="center"/>
          </w:tcPr>
          <w:p w14:paraId="29DF8305" w14:textId="6FACE213" w:rsidR="003D1111" w:rsidRPr="00BC23BA" w:rsidRDefault="003D1111" w:rsidP="003D1111">
            <w:pPr>
              <w:widowControl/>
              <w:adjustRightInd w:val="0"/>
              <w:snapToGrid w:val="0"/>
              <w:jc w:val="center"/>
              <w:rPr>
                <w:rFonts w:ascii="宋体" w:hAnsi="宋体"/>
                <w:color w:val="000000"/>
                <w:kern w:val="0"/>
                <w:szCs w:val="21"/>
              </w:rPr>
            </w:pPr>
            <w:r>
              <w:rPr>
                <w:rFonts w:ascii="宋体" w:hAnsi="宋体" w:hint="eastAsia"/>
                <w:color w:val="000000"/>
                <w:kern w:val="0"/>
                <w:szCs w:val="21"/>
              </w:rPr>
              <w:t>9</w:t>
            </w:r>
            <w:r>
              <w:rPr>
                <w:rFonts w:ascii="宋体" w:hAnsi="宋体"/>
                <w:color w:val="000000"/>
                <w:kern w:val="0"/>
                <w:szCs w:val="21"/>
              </w:rPr>
              <w:t>9.98</w:t>
            </w:r>
          </w:p>
        </w:tc>
        <w:tc>
          <w:tcPr>
            <w:tcW w:w="468" w:type="pct"/>
            <w:tcBorders>
              <w:top w:val="nil"/>
              <w:left w:val="nil"/>
              <w:bottom w:val="single" w:sz="4" w:space="0" w:color="auto"/>
              <w:right w:val="single" w:sz="4" w:space="0" w:color="auto"/>
            </w:tcBorders>
            <w:vAlign w:val="center"/>
          </w:tcPr>
          <w:p w14:paraId="7EB21262" w14:textId="185BA157" w:rsidR="003D1111" w:rsidRPr="00BC23BA" w:rsidRDefault="003D1111" w:rsidP="003D1111">
            <w:pPr>
              <w:widowControl/>
              <w:adjustRightInd w:val="0"/>
              <w:snapToGrid w:val="0"/>
              <w:jc w:val="center"/>
              <w:rPr>
                <w:rFonts w:ascii="宋体" w:hAnsi="宋体"/>
                <w:color w:val="000000"/>
                <w:kern w:val="0"/>
                <w:szCs w:val="21"/>
              </w:rPr>
            </w:pPr>
            <w:r>
              <w:rPr>
                <w:rFonts w:ascii="宋体" w:hAnsi="宋体" w:cs="宋体" w:hint="eastAsia"/>
                <w:color w:val="000000"/>
                <w:kern w:val="0"/>
                <w:sz w:val="18"/>
                <w:szCs w:val="18"/>
                <w:lang w:bidi="ar"/>
              </w:rPr>
              <w:t xml:space="preserve">-24,900.02 </w:t>
            </w:r>
          </w:p>
        </w:tc>
        <w:tc>
          <w:tcPr>
            <w:tcW w:w="450" w:type="pct"/>
            <w:tcBorders>
              <w:top w:val="nil"/>
              <w:left w:val="nil"/>
              <w:bottom w:val="single" w:sz="4" w:space="0" w:color="auto"/>
              <w:right w:val="single" w:sz="4" w:space="0" w:color="auto"/>
            </w:tcBorders>
            <w:vAlign w:val="center"/>
          </w:tcPr>
          <w:p w14:paraId="107822F4" w14:textId="77777777" w:rsidR="003D1111" w:rsidRPr="00BC23BA" w:rsidRDefault="003D1111" w:rsidP="003D1111">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w:t>
            </w:r>
          </w:p>
        </w:tc>
        <w:tc>
          <w:tcPr>
            <w:tcW w:w="403" w:type="pct"/>
            <w:tcBorders>
              <w:top w:val="nil"/>
              <w:left w:val="nil"/>
              <w:bottom w:val="single" w:sz="4" w:space="0" w:color="auto"/>
              <w:right w:val="single" w:sz="4" w:space="0" w:color="auto"/>
            </w:tcBorders>
            <w:vAlign w:val="center"/>
          </w:tcPr>
          <w:p w14:paraId="6BE1AD1A" w14:textId="77777777" w:rsidR="003D1111" w:rsidRPr="00BC23BA" w:rsidRDefault="003D1111" w:rsidP="003D1111">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w:t>
            </w:r>
          </w:p>
        </w:tc>
        <w:tc>
          <w:tcPr>
            <w:tcW w:w="326" w:type="pct"/>
            <w:tcBorders>
              <w:top w:val="nil"/>
              <w:left w:val="nil"/>
              <w:bottom w:val="single" w:sz="4" w:space="0" w:color="auto"/>
              <w:right w:val="single" w:sz="4" w:space="0" w:color="auto"/>
            </w:tcBorders>
            <w:vAlign w:val="center"/>
          </w:tcPr>
          <w:p w14:paraId="4BBA9CB4" w14:textId="4DE8254A" w:rsidR="003D1111" w:rsidRPr="00BC23BA" w:rsidRDefault="003D1111" w:rsidP="003D1111">
            <w:pPr>
              <w:widowControl/>
              <w:adjustRightInd w:val="0"/>
              <w:snapToGrid w:val="0"/>
              <w:jc w:val="center"/>
              <w:rPr>
                <w:rFonts w:ascii="宋体" w:hAnsi="宋体"/>
                <w:color w:val="000000"/>
                <w:kern w:val="0"/>
                <w:szCs w:val="21"/>
              </w:rPr>
            </w:pPr>
          </w:p>
        </w:tc>
        <w:tc>
          <w:tcPr>
            <w:tcW w:w="362" w:type="pct"/>
            <w:tcBorders>
              <w:top w:val="nil"/>
              <w:left w:val="nil"/>
              <w:bottom w:val="single" w:sz="4" w:space="0" w:color="auto"/>
              <w:right w:val="single" w:sz="4" w:space="0" w:color="auto"/>
            </w:tcBorders>
            <w:vAlign w:val="center"/>
          </w:tcPr>
          <w:p w14:paraId="511A92B6" w14:textId="77777777" w:rsidR="003D1111" w:rsidRPr="00BC23BA" w:rsidRDefault="003D1111" w:rsidP="003D1111">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w:t>
            </w:r>
          </w:p>
        </w:tc>
        <w:tc>
          <w:tcPr>
            <w:tcW w:w="317" w:type="pct"/>
            <w:tcBorders>
              <w:top w:val="nil"/>
              <w:left w:val="nil"/>
              <w:bottom w:val="single" w:sz="4" w:space="0" w:color="auto"/>
              <w:right w:val="single" w:sz="8" w:space="0" w:color="auto"/>
            </w:tcBorders>
            <w:vAlign w:val="center"/>
          </w:tcPr>
          <w:p w14:paraId="037B2A7C" w14:textId="77777777" w:rsidR="003D1111" w:rsidRPr="00BC23BA" w:rsidRDefault="003D1111" w:rsidP="003D1111">
            <w:pPr>
              <w:widowControl/>
              <w:adjustRightInd w:val="0"/>
              <w:snapToGrid w:val="0"/>
              <w:jc w:val="center"/>
              <w:rPr>
                <w:rFonts w:ascii="宋体" w:hAnsi="宋体"/>
                <w:color w:val="000000"/>
                <w:kern w:val="0"/>
                <w:szCs w:val="21"/>
              </w:rPr>
            </w:pPr>
            <w:r w:rsidRPr="00BC23BA">
              <w:rPr>
                <w:rFonts w:ascii="宋体" w:hAnsi="宋体" w:hint="eastAsia"/>
                <w:color w:val="000000"/>
                <w:kern w:val="0"/>
                <w:szCs w:val="21"/>
              </w:rPr>
              <w:t>—</w:t>
            </w:r>
          </w:p>
        </w:tc>
      </w:tr>
      <w:tr w:rsidR="003D1111" w:rsidRPr="00BC23BA" w14:paraId="6549064C" w14:textId="77777777" w:rsidTr="00A33EED">
        <w:trPr>
          <w:trHeight w:val="422"/>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1A3A4479"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color w:val="000000"/>
                <w:kern w:val="0"/>
                <w:szCs w:val="21"/>
              </w:rPr>
              <w:t>未达到计划进度原因（</w:t>
            </w:r>
            <w:proofErr w:type="gramStart"/>
            <w:r w:rsidRPr="00BC23BA">
              <w:rPr>
                <w:rFonts w:ascii="宋体" w:hAnsi="宋体" w:hint="eastAsia"/>
                <w:color w:val="000000"/>
                <w:kern w:val="0"/>
                <w:szCs w:val="21"/>
              </w:rPr>
              <w:t>分具体募投</w:t>
            </w:r>
            <w:proofErr w:type="gramEnd"/>
            <w:r w:rsidRPr="00BC23BA">
              <w:rPr>
                <w:rFonts w:ascii="宋体" w:hAnsi="宋体" w:hint="eastAsia"/>
                <w:color w:val="000000"/>
                <w:kern w:val="0"/>
                <w:szCs w:val="21"/>
              </w:rPr>
              <w:t>项目）</w:t>
            </w:r>
          </w:p>
        </w:tc>
        <w:tc>
          <w:tcPr>
            <w:tcW w:w="2840" w:type="pct"/>
            <w:gridSpan w:val="8"/>
            <w:tcBorders>
              <w:top w:val="single" w:sz="4" w:space="0" w:color="auto"/>
              <w:left w:val="nil"/>
              <w:bottom w:val="single" w:sz="4" w:space="0" w:color="auto"/>
              <w:right w:val="single" w:sz="8" w:space="0" w:color="000000"/>
            </w:tcBorders>
            <w:vAlign w:val="center"/>
          </w:tcPr>
          <w:p w14:paraId="4861A6CE" w14:textId="591D892B" w:rsidR="003D1111" w:rsidRPr="00BC23BA" w:rsidRDefault="008E2C20"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不适用</w:t>
            </w:r>
          </w:p>
        </w:tc>
      </w:tr>
      <w:tr w:rsidR="003D1111" w:rsidRPr="00BC23BA" w14:paraId="69EAF3F7" w14:textId="77777777" w:rsidTr="00A33EED">
        <w:trPr>
          <w:trHeight w:val="285"/>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3D838D2B"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color w:val="000000"/>
                <w:kern w:val="0"/>
                <w:szCs w:val="21"/>
              </w:rPr>
              <w:t>项目可行性发生重大变化的情况说明</w:t>
            </w:r>
          </w:p>
        </w:tc>
        <w:tc>
          <w:tcPr>
            <w:tcW w:w="2840" w:type="pct"/>
            <w:gridSpan w:val="8"/>
            <w:tcBorders>
              <w:top w:val="single" w:sz="4" w:space="0" w:color="auto"/>
              <w:left w:val="nil"/>
              <w:bottom w:val="single" w:sz="4" w:space="0" w:color="auto"/>
              <w:right w:val="single" w:sz="8" w:space="0" w:color="000000"/>
            </w:tcBorders>
            <w:vAlign w:val="center"/>
          </w:tcPr>
          <w:p w14:paraId="7ACB7240" w14:textId="1EAF1568" w:rsidR="003D1111" w:rsidRPr="00BC23BA" w:rsidRDefault="003D1111"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不适用</w:t>
            </w:r>
            <w:r w:rsidRPr="00BC23BA">
              <w:rPr>
                <w:rFonts w:ascii="宋体" w:hAnsi="宋体" w:hint="eastAsia"/>
                <w:color w:val="000000"/>
                <w:kern w:val="0"/>
                <w:szCs w:val="21"/>
              </w:rPr>
              <w:t xml:space="preserve">　</w:t>
            </w:r>
          </w:p>
        </w:tc>
      </w:tr>
      <w:tr w:rsidR="003D1111" w:rsidRPr="00BC23BA" w14:paraId="4020E869" w14:textId="77777777" w:rsidTr="00A33EED">
        <w:trPr>
          <w:trHeight w:val="285"/>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759E282A"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color w:val="000000"/>
                <w:kern w:val="0"/>
                <w:szCs w:val="21"/>
              </w:rPr>
              <w:lastRenderedPageBreak/>
              <w:t>募集资金投资项目先期投入及置换情况</w:t>
            </w:r>
          </w:p>
        </w:tc>
        <w:tc>
          <w:tcPr>
            <w:tcW w:w="2840" w:type="pct"/>
            <w:gridSpan w:val="8"/>
            <w:tcBorders>
              <w:top w:val="single" w:sz="4" w:space="0" w:color="auto"/>
              <w:left w:val="nil"/>
              <w:bottom w:val="single" w:sz="4" w:space="0" w:color="auto"/>
              <w:right w:val="single" w:sz="8" w:space="0" w:color="000000"/>
            </w:tcBorders>
            <w:vAlign w:val="center"/>
          </w:tcPr>
          <w:p w14:paraId="4F77C081" w14:textId="3053675E" w:rsidR="003D1111" w:rsidRPr="00BC23BA" w:rsidRDefault="003D1111"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详见本专项报告之“三、（一）”</w:t>
            </w:r>
            <w:r w:rsidRPr="00BC23BA">
              <w:rPr>
                <w:rFonts w:ascii="宋体" w:hAnsi="宋体" w:hint="eastAsia"/>
                <w:color w:val="000000"/>
                <w:kern w:val="0"/>
                <w:szCs w:val="21"/>
              </w:rPr>
              <w:t xml:space="preserve">　</w:t>
            </w:r>
          </w:p>
        </w:tc>
      </w:tr>
      <w:tr w:rsidR="003D1111" w:rsidRPr="00BC23BA" w14:paraId="6AA03415" w14:textId="77777777" w:rsidTr="00A33EED">
        <w:trPr>
          <w:trHeight w:val="285"/>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4980CBED"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color w:val="000000"/>
                <w:kern w:val="0"/>
                <w:szCs w:val="21"/>
              </w:rPr>
              <w:t>用闲置募集资金暂时补充流动资金情况</w:t>
            </w:r>
          </w:p>
        </w:tc>
        <w:tc>
          <w:tcPr>
            <w:tcW w:w="2840" w:type="pct"/>
            <w:gridSpan w:val="8"/>
            <w:tcBorders>
              <w:top w:val="single" w:sz="4" w:space="0" w:color="auto"/>
              <w:left w:val="nil"/>
              <w:bottom w:val="single" w:sz="4" w:space="0" w:color="auto"/>
              <w:right w:val="single" w:sz="8" w:space="0" w:color="000000"/>
            </w:tcBorders>
            <w:vAlign w:val="center"/>
          </w:tcPr>
          <w:p w14:paraId="6D1C1D62" w14:textId="2BB18B96" w:rsidR="003D1111" w:rsidRPr="00BC23BA" w:rsidRDefault="003D1111"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详见本专项报告之“三、（二）”</w:t>
            </w:r>
            <w:r w:rsidRPr="00BC23BA">
              <w:rPr>
                <w:rFonts w:ascii="宋体" w:hAnsi="宋体" w:hint="eastAsia"/>
                <w:color w:val="000000"/>
                <w:kern w:val="0"/>
                <w:szCs w:val="21"/>
              </w:rPr>
              <w:t xml:space="preserve">　　</w:t>
            </w:r>
          </w:p>
        </w:tc>
      </w:tr>
      <w:tr w:rsidR="003D1111" w:rsidRPr="00BC23BA" w14:paraId="41B18AD9" w14:textId="77777777" w:rsidTr="00A33EED">
        <w:trPr>
          <w:trHeight w:val="285"/>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1EFAF0A8"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szCs w:val="21"/>
              </w:rPr>
              <w:t>对闲置募集资金进行现金管理，投资相关产品情况</w:t>
            </w:r>
          </w:p>
        </w:tc>
        <w:tc>
          <w:tcPr>
            <w:tcW w:w="2840" w:type="pct"/>
            <w:gridSpan w:val="8"/>
            <w:tcBorders>
              <w:top w:val="single" w:sz="4" w:space="0" w:color="auto"/>
              <w:left w:val="nil"/>
              <w:bottom w:val="single" w:sz="4" w:space="0" w:color="auto"/>
              <w:right w:val="single" w:sz="8" w:space="0" w:color="000000"/>
            </w:tcBorders>
            <w:vAlign w:val="center"/>
          </w:tcPr>
          <w:p w14:paraId="1BEF2D82" w14:textId="7977D7DC" w:rsidR="003D1111" w:rsidRPr="00BC23BA" w:rsidRDefault="003D1111"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详见本专项报告之“三、（三）”</w:t>
            </w:r>
            <w:r w:rsidRPr="00BC23BA">
              <w:rPr>
                <w:rFonts w:ascii="宋体" w:hAnsi="宋体" w:hint="eastAsia"/>
                <w:color w:val="000000"/>
                <w:kern w:val="0"/>
                <w:szCs w:val="21"/>
              </w:rPr>
              <w:t xml:space="preserve">　　</w:t>
            </w:r>
          </w:p>
        </w:tc>
      </w:tr>
      <w:tr w:rsidR="003D1111" w:rsidRPr="00BC23BA" w14:paraId="248AAAA2" w14:textId="77777777" w:rsidTr="00A33EED">
        <w:trPr>
          <w:trHeight w:val="285"/>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532890A1" w14:textId="77777777" w:rsidR="003D1111" w:rsidRPr="00BC23BA" w:rsidRDefault="003D1111" w:rsidP="003D1111">
            <w:pPr>
              <w:widowControl/>
              <w:adjustRightInd w:val="0"/>
              <w:snapToGrid w:val="0"/>
              <w:jc w:val="left"/>
              <w:rPr>
                <w:rFonts w:ascii="宋体" w:hAnsi="宋体"/>
                <w:szCs w:val="21"/>
              </w:rPr>
            </w:pPr>
            <w:r w:rsidRPr="00BC23BA">
              <w:rPr>
                <w:rFonts w:ascii="宋体" w:hAnsi="宋体" w:hint="eastAsia"/>
                <w:szCs w:val="21"/>
              </w:rPr>
              <w:t>用超募资金永久补充流动资金或归还银行贷款情况</w:t>
            </w:r>
          </w:p>
        </w:tc>
        <w:tc>
          <w:tcPr>
            <w:tcW w:w="2840" w:type="pct"/>
            <w:gridSpan w:val="8"/>
            <w:tcBorders>
              <w:top w:val="single" w:sz="4" w:space="0" w:color="auto"/>
              <w:left w:val="nil"/>
              <w:bottom w:val="single" w:sz="4" w:space="0" w:color="auto"/>
              <w:right w:val="single" w:sz="8" w:space="0" w:color="000000"/>
            </w:tcBorders>
            <w:vAlign w:val="center"/>
          </w:tcPr>
          <w:p w14:paraId="56415C9C" w14:textId="1F535585" w:rsidR="003D1111" w:rsidRPr="00BC23BA" w:rsidRDefault="003D1111"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详见本专项报告之“三、（四）”</w:t>
            </w:r>
            <w:r w:rsidRPr="00BC23BA">
              <w:rPr>
                <w:rFonts w:ascii="宋体" w:hAnsi="宋体" w:hint="eastAsia"/>
                <w:color w:val="000000"/>
                <w:kern w:val="0"/>
                <w:szCs w:val="21"/>
              </w:rPr>
              <w:t xml:space="preserve">　</w:t>
            </w:r>
          </w:p>
        </w:tc>
      </w:tr>
      <w:tr w:rsidR="003D1111" w:rsidRPr="00BC23BA" w14:paraId="76570F4F" w14:textId="77777777" w:rsidTr="00A33EED">
        <w:trPr>
          <w:trHeight w:val="285"/>
          <w:jc w:val="center"/>
        </w:trPr>
        <w:tc>
          <w:tcPr>
            <w:tcW w:w="2160" w:type="pct"/>
            <w:gridSpan w:val="5"/>
            <w:tcBorders>
              <w:top w:val="single" w:sz="4" w:space="0" w:color="auto"/>
              <w:left w:val="single" w:sz="8" w:space="0" w:color="auto"/>
              <w:bottom w:val="single" w:sz="4" w:space="0" w:color="auto"/>
              <w:right w:val="single" w:sz="4" w:space="0" w:color="auto"/>
            </w:tcBorders>
            <w:vAlign w:val="center"/>
          </w:tcPr>
          <w:p w14:paraId="76C0DA25"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color w:val="000000"/>
                <w:kern w:val="0"/>
                <w:szCs w:val="21"/>
              </w:rPr>
              <w:t>募集资金结余的金额及形成原因</w:t>
            </w:r>
          </w:p>
        </w:tc>
        <w:tc>
          <w:tcPr>
            <w:tcW w:w="2840" w:type="pct"/>
            <w:gridSpan w:val="8"/>
            <w:tcBorders>
              <w:top w:val="single" w:sz="4" w:space="0" w:color="auto"/>
              <w:left w:val="nil"/>
              <w:bottom w:val="single" w:sz="4" w:space="0" w:color="auto"/>
              <w:right w:val="single" w:sz="8" w:space="0" w:color="000000"/>
            </w:tcBorders>
            <w:vAlign w:val="center"/>
          </w:tcPr>
          <w:p w14:paraId="5F7DC0B7" w14:textId="5B0497B2" w:rsidR="003D1111" w:rsidRPr="00BC23BA" w:rsidRDefault="003D1111"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不适用</w:t>
            </w:r>
            <w:r w:rsidRPr="00BC23BA">
              <w:rPr>
                <w:rFonts w:ascii="宋体" w:hAnsi="宋体" w:hint="eastAsia"/>
                <w:color w:val="000000"/>
                <w:kern w:val="0"/>
                <w:szCs w:val="21"/>
              </w:rPr>
              <w:t xml:space="preserve">　</w:t>
            </w:r>
          </w:p>
        </w:tc>
      </w:tr>
      <w:tr w:rsidR="003D1111" w:rsidRPr="00BC23BA" w14:paraId="3C31C347" w14:textId="77777777" w:rsidTr="00A33EED">
        <w:trPr>
          <w:trHeight w:val="365"/>
          <w:jc w:val="center"/>
        </w:trPr>
        <w:tc>
          <w:tcPr>
            <w:tcW w:w="2160" w:type="pct"/>
            <w:gridSpan w:val="5"/>
            <w:tcBorders>
              <w:top w:val="single" w:sz="4" w:space="0" w:color="auto"/>
              <w:left w:val="single" w:sz="8" w:space="0" w:color="auto"/>
              <w:bottom w:val="single" w:sz="8" w:space="0" w:color="auto"/>
              <w:right w:val="single" w:sz="4" w:space="0" w:color="auto"/>
            </w:tcBorders>
            <w:vAlign w:val="center"/>
          </w:tcPr>
          <w:p w14:paraId="04F339F2" w14:textId="77777777" w:rsidR="003D1111" w:rsidRPr="00BC23BA" w:rsidRDefault="003D1111" w:rsidP="003D1111">
            <w:pPr>
              <w:widowControl/>
              <w:adjustRightInd w:val="0"/>
              <w:snapToGrid w:val="0"/>
              <w:jc w:val="left"/>
              <w:rPr>
                <w:rFonts w:ascii="宋体" w:hAnsi="宋体"/>
                <w:color w:val="000000"/>
                <w:kern w:val="0"/>
                <w:szCs w:val="21"/>
              </w:rPr>
            </w:pPr>
            <w:r w:rsidRPr="00BC23BA">
              <w:rPr>
                <w:rFonts w:ascii="宋体" w:hAnsi="宋体" w:hint="eastAsia"/>
                <w:color w:val="000000"/>
                <w:kern w:val="0"/>
                <w:szCs w:val="21"/>
              </w:rPr>
              <w:t>募集资金其他使用情况</w:t>
            </w:r>
          </w:p>
        </w:tc>
        <w:tc>
          <w:tcPr>
            <w:tcW w:w="2840" w:type="pct"/>
            <w:gridSpan w:val="8"/>
            <w:tcBorders>
              <w:top w:val="single" w:sz="4" w:space="0" w:color="auto"/>
              <w:left w:val="nil"/>
              <w:bottom w:val="single" w:sz="8" w:space="0" w:color="auto"/>
              <w:right w:val="single" w:sz="8" w:space="0" w:color="000000"/>
            </w:tcBorders>
            <w:vAlign w:val="center"/>
          </w:tcPr>
          <w:p w14:paraId="0202B04A" w14:textId="366D5B7A" w:rsidR="003D1111" w:rsidRPr="00BC23BA" w:rsidRDefault="008E2C20" w:rsidP="003D1111">
            <w:pPr>
              <w:widowControl/>
              <w:adjustRightInd w:val="0"/>
              <w:snapToGrid w:val="0"/>
              <w:jc w:val="left"/>
              <w:rPr>
                <w:rFonts w:ascii="宋体" w:hAnsi="宋体"/>
                <w:color w:val="000000"/>
                <w:kern w:val="0"/>
                <w:szCs w:val="21"/>
              </w:rPr>
            </w:pPr>
            <w:r>
              <w:rPr>
                <w:rFonts w:ascii="宋体" w:hAnsi="宋体" w:hint="eastAsia"/>
                <w:color w:val="000000"/>
                <w:kern w:val="0"/>
                <w:szCs w:val="21"/>
              </w:rPr>
              <w:t>详见本专项报告之“三、（七）”</w:t>
            </w:r>
          </w:p>
        </w:tc>
      </w:tr>
    </w:tbl>
    <w:p w14:paraId="5C1D3DB4" w14:textId="77777777" w:rsidR="0021466C" w:rsidRPr="00BC23BA" w:rsidRDefault="0021466C" w:rsidP="0021466C">
      <w:pPr>
        <w:widowControl/>
        <w:adjustRightInd w:val="0"/>
        <w:snapToGrid w:val="0"/>
        <w:spacing w:line="560" w:lineRule="exact"/>
        <w:ind w:firstLineChars="200" w:firstLine="420"/>
        <w:jc w:val="left"/>
        <w:rPr>
          <w:rFonts w:ascii="宋体" w:hAnsi="宋体" w:cs="宋体"/>
          <w:color w:val="000000"/>
          <w:kern w:val="0"/>
          <w:szCs w:val="21"/>
        </w:rPr>
      </w:pPr>
      <w:r w:rsidRPr="00BC23BA">
        <w:rPr>
          <w:rFonts w:ascii="宋体" w:hAnsi="宋体" w:cs="宋体" w:hint="eastAsia"/>
          <w:color w:val="000000"/>
          <w:kern w:val="0"/>
          <w:szCs w:val="21"/>
        </w:rPr>
        <w:t>注1：“本年度投入募集资金总额”包括募集资金到账后“本年度投入金额”及实际已置换先期投入金额。</w:t>
      </w:r>
    </w:p>
    <w:p w14:paraId="68D51B19" w14:textId="77777777" w:rsidR="0021466C" w:rsidRPr="00BC23BA" w:rsidRDefault="0021466C" w:rsidP="0021466C">
      <w:pPr>
        <w:widowControl/>
        <w:adjustRightInd w:val="0"/>
        <w:snapToGrid w:val="0"/>
        <w:spacing w:line="560" w:lineRule="exact"/>
        <w:ind w:firstLineChars="200" w:firstLine="420"/>
        <w:jc w:val="left"/>
        <w:rPr>
          <w:rFonts w:ascii="宋体" w:hAnsi="宋体" w:cs="宋体"/>
          <w:color w:val="000000"/>
          <w:kern w:val="0"/>
          <w:szCs w:val="21"/>
        </w:rPr>
      </w:pPr>
      <w:r w:rsidRPr="00BC23BA">
        <w:rPr>
          <w:rFonts w:ascii="宋体" w:hAnsi="宋体" w:cs="宋体" w:hint="eastAsia"/>
          <w:color w:val="000000"/>
          <w:kern w:val="0"/>
          <w:szCs w:val="21"/>
        </w:rPr>
        <w:t>注2：“截至期末承诺投入金额”以最近一次已披露募集资金投资计划为依据确定。</w:t>
      </w:r>
    </w:p>
    <w:p w14:paraId="527D7FD3" w14:textId="77777777" w:rsidR="0021466C" w:rsidRPr="00BC23BA" w:rsidRDefault="0021466C" w:rsidP="0021466C">
      <w:pPr>
        <w:widowControl/>
        <w:adjustRightInd w:val="0"/>
        <w:snapToGrid w:val="0"/>
        <w:spacing w:line="560" w:lineRule="exact"/>
        <w:ind w:firstLineChars="200" w:firstLine="420"/>
        <w:jc w:val="left"/>
        <w:rPr>
          <w:rFonts w:ascii="宋体" w:hAnsi="宋体" w:cs="宋体"/>
          <w:color w:val="000000"/>
          <w:kern w:val="0"/>
          <w:szCs w:val="21"/>
        </w:rPr>
      </w:pPr>
      <w:r w:rsidRPr="00BC23BA">
        <w:rPr>
          <w:rFonts w:ascii="宋体" w:hAnsi="宋体" w:cs="宋体" w:hint="eastAsia"/>
          <w:color w:val="000000"/>
          <w:kern w:val="0"/>
          <w:szCs w:val="21"/>
        </w:rPr>
        <w:t>注3：“本年度实现的效益”的计算口径、计算方法应与承诺效益的计算口径、计算方法一致。</w:t>
      </w:r>
    </w:p>
    <w:p w14:paraId="7212EC94" w14:textId="77777777" w:rsidR="00E1093A" w:rsidRPr="0021466C" w:rsidRDefault="00E1093A" w:rsidP="00E1093A">
      <w:pPr>
        <w:spacing w:line="560" w:lineRule="exact"/>
        <w:jc w:val="right"/>
        <w:rPr>
          <w:rFonts w:ascii="宋体" w:hAnsi="宋体" w:cs="宋体-WinCharSetFFFF-H"/>
          <w:color w:val="000000"/>
          <w:kern w:val="0"/>
          <w:sz w:val="24"/>
          <w:szCs w:val="24"/>
        </w:rPr>
      </w:pPr>
    </w:p>
    <w:p w14:paraId="4B939699" w14:textId="77777777" w:rsidR="00093DD4" w:rsidRPr="00A753DA" w:rsidRDefault="00093DD4">
      <w:pPr>
        <w:rPr>
          <w:rFonts w:ascii="宋体" w:hAnsi="宋体"/>
        </w:rPr>
      </w:pPr>
    </w:p>
    <w:sectPr w:rsidR="00093DD4" w:rsidRPr="00A753DA" w:rsidSect="00BC23B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2186" w14:textId="77777777" w:rsidR="00096DE6" w:rsidRDefault="00096DE6" w:rsidP="00E1093A">
      <w:r>
        <w:separator/>
      </w:r>
    </w:p>
  </w:endnote>
  <w:endnote w:type="continuationSeparator" w:id="0">
    <w:p w14:paraId="7239DFC3" w14:textId="77777777" w:rsidR="00096DE6" w:rsidRDefault="00096DE6" w:rsidP="00E1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WinCharSetFFFF-H">
    <w:altName w:val="等线"/>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WinCharSetFFFF-H">
    <w:altName w:val="方正舒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C645" w14:textId="77777777" w:rsidR="00096DE6" w:rsidRDefault="00096DE6" w:rsidP="00E1093A">
      <w:r>
        <w:separator/>
      </w:r>
    </w:p>
  </w:footnote>
  <w:footnote w:type="continuationSeparator" w:id="0">
    <w:p w14:paraId="4E88A047" w14:textId="77777777" w:rsidR="00096DE6" w:rsidRDefault="00096DE6" w:rsidP="00E10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60C30"/>
    <w:multiLevelType w:val="hybridMultilevel"/>
    <w:tmpl w:val="B6021430"/>
    <w:lvl w:ilvl="0" w:tplc="B54A8730">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69292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7E88"/>
    <w:rsid w:val="0002010C"/>
    <w:rsid w:val="00037158"/>
    <w:rsid w:val="00043FE1"/>
    <w:rsid w:val="00047E88"/>
    <w:rsid w:val="0005562E"/>
    <w:rsid w:val="000576F0"/>
    <w:rsid w:val="00093DD4"/>
    <w:rsid w:val="000940C6"/>
    <w:rsid w:val="00096DE6"/>
    <w:rsid w:val="000A0357"/>
    <w:rsid w:val="000A32F2"/>
    <w:rsid w:val="000A5A87"/>
    <w:rsid w:val="000B4168"/>
    <w:rsid w:val="000B458D"/>
    <w:rsid w:val="000C6E0A"/>
    <w:rsid w:val="000D076E"/>
    <w:rsid w:val="000F1A31"/>
    <w:rsid w:val="0011158B"/>
    <w:rsid w:val="0013318B"/>
    <w:rsid w:val="0013324D"/>
    <w:rsid w:val="00162FA4"/>
    <w:rsid w:val="00163A39"/>
    <w:rsid w:val="0018174C"/>
    <w:rsid w:val="00181FE6"/>
    <w:rsid w:val="0019436E"/>
    <w:rsid w:val="001A5246"/>
    <w:rsid w:val="001A5B34"/>
    <w:rsid w:val="001A6191"/>
    <w:rsid w:val="001C7AA1"/>
    <w:rsid w:val="001D2388"/>
    <w:rsid w:val="001D29A0"/>
    <w:rsid w:val="001F4A84"/>
    <w:rsid w:val="002051C2"/>
    <w:rsid w:val="0021466C"/>
    <w:rsid w:val="002154FD"/>
    <w:rsid w:val="00226AD5"/>
    <w:rsid w:val="0023674A"/>
    <w:rsid w:val="00240105"/>
    <w:rsid w:val="00250168"/>
    <w:rsid w:val="002704BD"/>
    <w:rsid w:val="00276902"/>
    <w:rsid w:val="002869E8"/>
    <w:rsid w:val="002A39A5"/>
    <w:rsid w:val="002A54E7"/>
    <w:rsid w:val="002C15A4"/>
    <w:rsid w:val="002C4DCD"/>
    <w:rsid w:val="002D136D"/>
    <w:rsid w:val="002E7581"/>
    <w:rsid w:val="00305510"/>
    <w:rsid w:val="00306681"/>
    <w:rsid w:val="00321EBF"/>
    <w:rsid w:val="00326B1A"/>
    <w:rsid w:val="00331D1C"/>
    <w:rsid w:val="00334CC0"/>
    <w:rsid w:val="0036074E"/>
    <w:rsid w:val="00363362"/>
    <w:rsid w:val="0037574D"/>
    <w:rsid w:val="003B635A"/>
    <w:rsid w:val="003C54A0"/>
    <w:rsid w:val="003C7123"/>
    <w:rsid w:val="003D1111"/>
    <w:rsid w:val="00400D1A"/>
    <w:rsid w:val="00402C7F"/>
    <w:rsid w:val="004329B3"/>
    <w:rsid w:val="004334AC"/>
    <w:rsid w:val="004375DA"/>
    <w:rsid w:val="0046217B"/>
    <w:rsid w:val="0046307F"/>
    <w:rsid w:val="004729E0"/>
    <w:rsid w:val="00487DC7"/>
    <w:rsid w:val="00494A5B"/>
    <w:rsid w:val="00497B6F"/>
    <w:rsid w:val="004A6D3D"/>
    <w:rsid w:val="004A72EA"/>
    <w:rsid w:val="004D5061"/>
    <w:rsid w:val="004F440C"/>
    <w:rsid w:val="00532573"/>
    <w:rsid w:val="00553661"/>
    <w:rsid w:val="005624CA"/>
    <w:rsid w:val="005671C2"/>
    <w:rsid w:val="00590483"/>
    <w:rsid w:val="005C7227"/>
    <w:rsid w:val="005D2FE0"/>
    <w:rsid w:val="005E49FF"/>
    <w:rsid w:val="005E5497"/>
    <w:rsid w:val="00602029"/>
    <w:rsid w:val="00634FA0"/>
    <w:rsid w:val="0065204B"/>
    <w:rsid w:val="0065380A"/>
    <w:rsid w:val="00654B6F"/>
    <w:rsid w:val="006850DB"/>
    <w:rsid w:val="006A12DF"/>
    <w:rsid w:val="006B0C5E"/>
    <w:rsid w:val="006C2260"/>
    <w:rsid w:val="006F6B54"/>
    <w:rsid w:val="0070222B"/>
    <w:rsid w:val="00703808"/>
    <w:rsid w:val="0072127A"/>
    <w:rsid w:val="00722C24"/>
    <w:rsid w:val="007363BB"/>
    <w:rsid w:val="007531FB"/>
    <w:rsid w:val="00756122"/>
    <w:rsid w:val="00773C3D"/>
    <w:rsid w:val="00782782"/>
    <w:rsid w:val="0079024B"/>
    <w:rsid w:val="00790E60"/>
    <w:rsid w:val="007B207D"/>
    <w:rsid w:val="007B534C"/>
    <w:rsid w:val="007B6A11"/>
    <w:rsid w:val="007C6C0C"/>
    <w:rsid w:val="00805835"/>
    <w:rsid w:val="008103DA"/>
    <w:rsid w:val="00811ACD"/>
    <w:rsid w:val="0081453B"/>
    <w:rsid w:val="0082252B"/>
    <w:rsid w:val="00833CA0"/>
    <w:rsid w:val="00837475"/>
    <w:rsid w:val="0084243F"/>
    <w:rsid w:val="008B31BB"/>
    <w:rsid w:val="008C2492"/>
    <w:rsid w:val="008D6B4F"/>
    <w:rsid w:val="008E2C20"/>
    <w:rsid w:val="008F289F"/>
    <w:rsid w:val="008F5A76"/>
    <w:rsid w:val="00985B98"/>
    <w:rsid w:val="009B4522"/>
    <w:rsid w:val="009B7073"/>
    <w:rsid w:val="009C692F"/>
    <w:rsid w:val="009C7147"/>
    <w:rsid w:val="009D1BBE"/>
    <w:rsid w:val="009E0958"/>
    <w:rsid w:val="00A33EED"/>
    <w:rsid w:val="00A44317"/>
    <w:rsid w:val="00A753DA"/>
    <w:rsid w:val="00A85099"/>
    <w:rsid w:val="00A875FE"/>
    <w:rsid w:val="00AB725A"/>
    <w:rsid w:val="00AD4BEB"/>
    <w:rsid w:val="00AE2B1D"/>
    <w:rsid w:val="00B01FFE"/>
    <w:rsid w:val="00B16298"/>
    <w:rsid w:val="00B16EC7"/>
    <w:rsid w:val="00B20839"/>
    <w:rsid w:val="00B23E92"/>
    <w:rsid w:val="00B5141D"/>
    <w:rsid w:val="00B51A45"/>
    <w:rsid w:val="00B5342B"/>
    <w:rsid w:val="00B55219"/>
    <w:rsid w:val="00B86793"/>
    <w:rsid w:val="00B96073"/>
    <w:rsid w:val="00BA11F4"/>
    <w:rsid w:val="00BC23BA"/>
    <w:rsid w:val="00BF13A8"/>
    <w:rsid w:val="00C057E7"/>
    <w:rsid w:val="00C73646"/>
    <w:rsid w:val="00C92741"/>
    <w:rsid w:val="00CA08C4"/>
    <w:rsid w:val="00CB0975"/>
    <w:rsid w:val="00CC2BCF"/>
    <w:rsid w:val="00CD3D53"/>
    <w:rsid w:val="00CD7357"/>
    <w:rsid w:val="00D031D9"/>
    <w:rsid w:val="00D03ABB"/>
    <w:rsid w:val="00D25288"/>
    <w:rsid w:val="00D3010E"/>
    <w:rsid w:val="00D456AC"/>
    <w:rsid w:val="00D72156"/>
    <w:rsid w:val="00D84315"/>
    <w:rsid w:val="00D93765"/>
    <w:rsid w:val="00E065AE"/>
    <w:rsid w:val="00E1093A"/>
    <w:rsid w:val="00E27159"/>
    <w:rsid w:val="00E6391C"/>
    <w:rsid w:val="00EA0274"/>
    <w:rsid w:val="00EB65A2"/>
    <w:rsid w:val="00ED7F98"/>
    <w:rsid w:val="00EE3203"/>
    <w:rsid w:val="00EE5B9A"/>
    <w:rsid w:val="00F0293F"/>
    <w:rsid w:val="00F14D4E"/>
    <w:rsid w:val="00F416CD"/>
    <w:rsid w:val="00F75E42"/>
    <w:rsid w:val="00F839A6"/>
    <w:rsid w:val="00F941BD"/>
    <w:rsid w:val="00FA5E4C"/>
    <w:rsid w:val="00FB31F6"/>
    <w:rsid w:val="00FB430D"/>
    <w:rsid w:val="00FC310A"/>
    <w:rsid w:val="00FD0B86"/>
    <w:rsid w:val="00FF1BAA"/>
    <w:rsid w:val="00FF3252"/>
    <w:rsid w:val="00FF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997242"/>
  <w15:chartTrackingRefBased/>
  <w15:docId w15:val="{8D1F191C-9A2F-45BB-B1DF-C1318302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93A"/>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9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093A"/>
    <w:rPr>
      <w:sz w:val="18"/>
      <w:szCs w:val="18"/>
    </w:rPr>
  </w:style>
  <w:style w:type="paragraph" w:styleId="a5">
    <w:name w:val="footer"/>
    <w:basedOn w:val="a"/>
    <w:link w:val="a6"/>
    <w:uiPriority w:val="99"/>
    <w:unhideWhenUsed/>
    <w:rsid w:val="00E1093A"/>
    <w:pPr>
      <w:tabs>
        <w:tab w:val="center" w:pos="4153"/>
        <w:tab w:val="right" w:pos="8306"/>
      </w:tabs>
      <w:snapToGrid w:val="0"/>
      <w:jc w:val="left"/>
    </w:pPr>
    <w:rPr>
      <w:sz w:val="18"/>
      <w:szCs w:val="18"/>
    </w:rPr>
  </w:style>
  <w:style w:type="character" w:customStyle="1" w:styleId="a6">
    <w:name w:val="页脚 字符"/>
    <w:basedOn w:val="a0"/>
    <w:link w:val="a5"/>
    <w:uiPriority w:val="99"/>
    <w:rsid w:val="00E1093A"/>
    <w:rPr>
      <w:sz w:val="18"/>
      <w:szCs w:val="18"/>
    </w:rPr>
  </w:style>
  <w:style w:type="table" w:styleId="a7">
    <w:name w:val="Table Grid"/>
    <w:basedOn w:val="a1"/>
    <w:qFormat/>
    <w:rsid w:val="00A7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poraryspan">
    <w:name w:val="temporaryspan"/>
    <w:basedOn w:val="a0"/>
    <w:rsid w:val="0021466C"/>
  </w:style>
  <w:style w:type="character" w:customStyle="1" w:styleId="swhkey">
    <w:name w:val="swhkey"/>
    <w:basedOn w:val="a0"/>
    <w:rsid w:val="0021466C"/>
  </w:style>
  <w:style w:type="paragraph" w:styleId="a8">
    <w:name w:val="Normal (Web)"/>
    <w:basedOn w:val="a"/>
    <w:uiPriority w:val="99"/>
    <w:unhideWhenUsed/>
    <w:rsid w:val="0021466C"/>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21466C"/>
    <w:pPr>
      <w:ind w:firstLineChars="200" w:firstLine="420"/>
    </w:pPr>
  </w:style>
  <w:style w:type="table" w:customStyle="1" w:styleId="1">
    <w:name w:val="网格型1"/>
    <w:basedOn w:val="a1"/>
    <w:next w:val="a7"/>
    <w:qFormat/>
    <w:rsid w:val="00162FA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363362"/>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363362"/>
    <w:pPr>
      <w:jc w:val="left"/>
    </w:pPr>
    <w:rPr>
      <w:rFonts w:asciiTheme="minorHAnsi" w:eastAsiaTheme="minorEastAsia" w:hAnsiTheme="minorHAnsi" w:cstheme="minorBidi"/>
      <w:kern w:val="0"/>
      <w:sz w:val="22"/>
      <w:lang w:eastAsia="en-US"/>
    </w:rPr>
  </w:style>
  <w:style w:type="character" w:styleId="aa">
    <w:name w:val="annotation reference"/>
    <w:basedOn w:val="a0"/>
    <w:uiPriority w:val="99"/>
    <w:semiHidden/>
    <w:unhideWhenUsed/>
    <w:rsid w:val="00A33EED"/>
    <w:rPr>
      <w:sz w:val="21"/>
      <w:szCs w:val="21"/>
    </w:rPr>
  </w:style>
  <w:style w:type="paragraph" w:styleId="ab">
    <w:name w:val="annotation text"/>
    <w:basedOn w:val="a"/>
    <w:link w:val="ac"/>
    <w:uiPriority w:val="99"/>
    <w:unhideWhenUsed/>
    <w:rsid w:val="00A33EED"/>
    <w:pPr>
      <w:jc w:val="left"/>
    </w:pPr>
  </w:style>
  <w:style w:type="character" w:customStyle="1" w:styleId="ac">
    <w:name w:val="批注文字 字符"/>
    <w:basedOn w:val="a0"/>
    <w:link w:val="ab"/>
    <w:uiPriority w:val="99"/>
    <w:rsid w:val="00A33EED"/>
    <w:rPr>
      <w:rFonts w:ascii="Calibri" w:eastAsia="宋体" w:hAnsi="Calibri" w:cs="Times New Roman"/>
      <w14:ligatures w14:val="none"/>
    </w:rPr>
  </w:style>
  <w:style w:type="paragraph" w:styleId="ad">
    <w:name w:val="annotation subject"/>
    <w:basedOn w:val="ab"/>
    <w:next w:val="ab"/>
    <w:link w:val="ae"/>
    <w:uiPriority w:val="99"/>
    <w:semiHidden/>
    <w:unhideWhenUsed/>
    <w:rsid w:val="00A33EED"/>
    <w:rPr>
      <w:b/>
      <w:bCs/>
    </w:rPr>
  </w:style>
  <w:style w:type="character" w:customStyle="1" w:styleId="ae">
    <w:name w:val="批注主题 字符"/>
    <w:basedOn w:val="ac"/>
    <w:link w:val="ad"/>
    <w:uiPriority w:val="99"/>
    <w:semiHidden/>
    <w:rsid w:val="00A33EED"/>
    <w:rPr>
      <w:rFonts w:ascii="Calibri" w:eastAsia="宋体" w:hAnsi="Calibri" w:cs="Times New Roman"/>
      <w:b/>
      <w:bCs/>
      <w14:ligatures w14:val="none"/>
    </w:rPr>
  </w:style>
  <w:style w:type="paragraph" w:styleId="af">
    <w:name w:val="Revision"/>
    <w:hidden/>
    <w:uiPriority w:val="99"/>
    <w:semiHidden/>
    <w:rsid w:val="00A33EED"/>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823">
      <w:bodyDiv w:val="1"/>
      <w:marLeft w:val="0"/>
      <w:marRight w:val="0"/>
      <w:marTop w:val="0"/>
      <w:marBottom w:val="0"/>
      <w:divBdr>
        <w:top w:val="none" w:sz="0" w:space="0" w:color="auto"/>
        <w:left w:val="none" w:sz="0" w:space="0" w:color="auto"/>
        <w:bottom w:val="none" w:sz="0" w:space="0" w:color="auto"/>
        <w:right w:val="none" w:sz="0" w:space="0" w:color="auto"/>
      </w:divBdr>
    </w:div>
    <w:div w:id="787243646">
      <w:bodyDiv w:val="1"/>
      <w:marLeft w:val="0"/>
      <w:marRight w:val="0"/>
      <w:marTop w:val="0"/>
      <w:marBottom w:val="0"/>
      <w:divBdr>
        <w:top w:val="none" w:sz="0" w:space="0" w:color="auto"/>
        <w:left w:val="none" w:sz="0" w:space="0" w:color="auto"/>
        <w:bottom w:val="none" w:sz="0" w:space="0" w:color="auto"/>
        <w:right w:val="none" w:sz="0" w:space="0" w:color="auto"/>
      </w:divBdr>
    </w:div>
    <w:div w:id="1026440821">
      <w:bodyDiv w:val="1"/>
      <w:marLeft w:val="0"/>
      <w:marRight w:val="0"/>
      <w:marTop w:val="0"/>
      <w:marBottom w:val="0"/>
      <w:divBdr>
        <w:top w:val="none" w:sz="0" w:space="0" w:color="auto"/>
        <w:left w:val="none" w:sz="0" w:space="0" w:color="auto"/>
        <w:bottom w:val="none" w:sz="0" w:space="0" w:color="auto"/>
        <w:right w:val="none" w:sz="0" w:space="0" w:color="auto"/>
      </w:divBdr>
    </w:div>
    <w:div w:id="1049691544">
      <w:bodyDiv w:val="1"/>
      <w:marLeft w:val="0"/>
      <w:marRight w:val="0"/>
      <w:marTop w:val="0"/>
      <w:marBottom w:val="0"/>
      <w:divBdr>
        <w:top w:val="none" w:sz="0" w:space="0" w:color="auto"/>
        <w:left w:val="none" w:sz="0" w:space="0" w:color="auto"/>
        <w:bottom w:val="none" w:sz="0" w:space="0" w:color="auto"/>
        <w:right w:val="none" w:sz="0" w:space="0" w:color="auto"/>
      </w:divBdr>
    </w:div>
    <w:div w:id="1090468248">
      <w:bodyDiv w:val="1"/>
      <w:marLeft w:val="0"/>
      <w:marRight w:val="0"/>
      <w:marTop w:val="0"/>
      <w:marBottom w:val="0"/>
      <w:divBdr>
        <w:top w:val="none" w:sz="0" w:space="0" w:color="auto"/>
        <w:left w:val="none" w:sz="0" w:space="0" w:color="auto"/>
        <w:bottom w:val="none" w:sz="0" w:space="0" w:color="auto"/>
        <w:right w:val="none" w:sz="0" w:space="0" w:color="auto"/>
      </w:divBdr>
    </w:div>
    <w:div w:id="1502314002">
      <w:bodyDiv w:val="1"/>
      <w:marLeft w:val="0"/>
      <w:marRight w:val="0"/>
      <w:marTop w:val="0"/>
      <w:marBottom w:val="0"/>
      <w:divBdr>
        <w:top w:val="none" w:sz="0" w:space="0" w:color="auto"/>
        <w:left w:val="none" w:sz="0" w:space="0" w:color="auto"/>
        <w:bottom w:val="none" w:sz="0" w:space="0" w:color="auto"/>
        <w:right w:val="none" w:sz="0" w:space="0" w:color="auto"/>
      </w:divBdr>
    </w:div>
    <w:div w:id="1866821727">
      <w:bodyDiv w:val="1"/>
      <w:marLeft w:val="0"/>
      <w:marRight w:val="0"/>
      <w:marTop w:val="0"/>
      <w:marBottom w:val="0"/>
      <w:divBdr>
        <w:top w:val="none" w:sz="0" w:space="0" w:color="auto"/>
        <w:left w:val="none" w:sz="0" w:space="0" w:color="auto"/>
        <w:bottom w:val="none" w:sz="0" w:space="0" w:color="auto"/>
        <w:right w:val="none" w:sz="0" w:space="0" w:color="auto"/>
      </w:divBdr>
    </w:div>
    <w:div w:id="196781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9FE9-CBB3-4E7C-ADF4-82ADC318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8</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SES0140</dc:creator>
  <cp:keywords/>
  <dc:description/>
  <cp:lastModifiedBy>SES0140</cp:lastModifiedBy>
  <cp:revision>29</cp:revision>
  <dcterms:created xsi:type="dcterms:W3CDTF">2023-04-10T05:43:00Z</dcterms:created>
  <dcterms:modified xsi:type="dcterms:W3CDTF">2023-04-24T02:21:00Z</dcterms:modified>
</cp:coreProperties>
</file>