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01C" w14:textId="77777777" w:rsidR="005F1655" w:rsidRDefault="005F1655">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5F1655" w14:paraId="05F5F940" w14:textId="77777777">
        <w:trPr>
          <w:trHeight w:hRule="exact" w:val="373"/>
        </w:trPr>
        <w:tc>
          <w:tcPr>
            <w:tcW w:w="2711" w:type="dxa"/>
            <w:tcBorders>
              <w:top w:val="nil"/>
              <w:left w:val="nil"/>
              <w:bottom w:val="nil"/>
              <w:right w:val="nil"/>
            </w:tcBorders>
          </w:tcPr>
          <w:p w14:paraId="5131799D" w14:textId="77777777" w:rsidR="005F1655"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721354E6" w14:textId="77777777" w:rsidR="005F1655"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6AACE5BA" w14:textId="77777777" w:rsidR="005F1655"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-023</w:t>
            </w:r>
          </w:p>
        </w:tc>
      </w:tr>
    </w:tbl>
    <w:p w14:paraId="4867B636" w14:textId="77777777" w:rsidR="005F1655" w:rsidRDefault="005F1655">
      <w:pPr>
        <w:rPr>
          <w:rFonts w:asciiTheme="majorEastAsia" w:eastAsiaTheme="majorEastAsia" w:hAnsiTheme="majorEastAsia" w:cs="Times New Roman"/>
          <w:sz w:val="20"/>
          <w:szCs w:val="20"/>
        </w:rPr>
      </w:pPr>
    </w:p>
    <w:p w14:paraId="4DC604AB" w14:textId="77777777" w:rsidR="005F1655" w:rsidRDefault="00000000">
      <w:pPr>
        <w:spacing w:before="240"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40ADDFCD" w14:textId="77777777" w:rsidR="005F1655" w:rsidRDefault="00000000">
      <w:pPr>
        <w:spacing w:after="240"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2022年度利润分配预案的公告</w:t>
      </w:r>
    </w:p>
    <w:p w14:paraId="696F807B" w14:textId="77777777" w:rsidR="005F1655"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11BEE993" wp14:editId="64135A7B">
                <wp:simplePos x="0" y="0"/>
                <wp:positionH relativeFrom="column">
                  <wp:posOffset>56515</wp:posOffset>
                </wp:positionH>
                <wp:positionV relativeFrom="paragraph">
                  <wp:posOffset>33655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14:paraId="2835E61E" w14:textId="77777777" w:rsidR="005F1655"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p w14:paraId="36C9E83D" w14:textId="77777777" w:rsidR="005F1655" w:rsidRDefault="005F1655">
                            <w:pPr>
                              <w:spacing w:beforeLines="50" w:before="120" w:line="360" w:lineRule="auto"/>
                              <w:ind w:firstLineChars="200" w:firstLine="480"/>
                              <w:jc w:val="center"/>
                              <w:rPr>
                                <w:rFonts w:ascii="宋体" w:eastAsia="宋体" w:hAnsi="宋体" w:cs="Times New Roman"/>
                                <w:kern w:val="2"/>
                                <w:sz w:val="24"/>
                                <w:lang w:eastAsia="zh-CN"/>
                              </w:rPr>
                            </w:pPr>
                          </w:p>
                        </w:txbxContent>
                      </wps:txbx>
                      <wps:bodyPr rot="0" vert="horz" wrap="square" lIns="0" tIns="0" rIns="0" bIns="0" anchor="t" anchorCtr="0" upright="1">
                        <a:noAutofit/>
                      </wps:bodyPr>
                    </wps:wsp>
                  </a:graphicData>
                </a:graphic>
              </wp:anchor>
            </w:drawing>
          </mc:Choice>
          <mc:Fallback>
            <w:pict>
              <v:shapetype w14:anchorId="11BEE993" id="_x0000_t202" coordsize="21600,21600" o:spt="202" path="m,l,21600r21600,l21600,xe">
                <v:stroke joinstyle="miter"/>
                <v:path gradientshapeok="t" o:connecttype="rect"/>
              </v:shapetype>
              <v:shape id="Text Box 2" o:spid="_x0000_s1026" type="#_x0000_t202" style="position:absolute;left:0;text-align:left;margin-left:4.45pt;margin-top:2.6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GY+g7rZAAAABwEAAA8AAABk&#10;cnMvZG93bnJldi54bWxMjsFuwjAQRO+V+AdrkbgVu6CgNI2DEIJLD5UCfICJt0naeB3FhqR/3+XU&#10;HkfzNPPy7eQ6ccchtJ40vCwVCKTK25ZqDZfz8TkFEaIhazpPqOEHA2yL2VNuMutHKvF+irXgEQqZ&#10;0dDE2GdShqpBZ8LS90jcffrBmchxqKUdzMjjrpMrpTbSmZb4oTE97husvk83pwHLr9b7YzqWfawv&#10;7+GQJIePROvFfNq9gYg4xT8YHvqsDgU7Xf2NbBCdhvSVQQ3JGgS36fqRr4ypjQJZ5PK/f/ELAAD/&#10;/wMAUEsBAi0AFAAGAAgAAAAhALaDOJL+AAAA4QEAABMAAAAAAAAAAAAAAAAAAAAAAFtDb250ZW50&#10;X1R5cGVzXS54bWxQSwECLQAUAAYACAAAACEAOP0h/9YAAACUAQAACwAAAAAAAAAAAAAAAAAvAQAA&#10;X3JlbHMvLnJlbHNQSwECLQAUAAYACAAAACEArzS8zvsBAADaAwAADgAAAAAAAAAAAAAAAAAuAgAA&#10;ZHJzL2Uyb0RvYy54bWxQSwECLQAUAAYACAAAACEAZj6DutkAAAAHAQAADwAAAAAAAAAAAAAAAABV&#10;BAAAZHJzL2Rvd25yZXYueG1sUEsFBgAAAAAEAAQA8wAAAFsFAAAAAA==&#10;" filled="f" strokeweight=".48pt">
                <v:textbox inset="0,0,0,0">
                  <w:txbxContent>
                    <w:p w14:paraId="2835E61E" w14:textId="77777777" w:rsidR="005F1655"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p w14:paraId="36C9E83D" w14:textId="77777777" w:rsidR="005F1655" w:rsidRDefault="005F1655">
                      <w:pPr>
                        <w:spacing w:beforeLines="50" w:before="120" w:line="360" w:lineRule="auto"/>
                        <w:ind w:firstLineChars="200" w:firstLine="480"/>
                        <w:jc w:val="center"/>
                        <w:rPr>
                          <w:rFonts w:ascii="宋体" w:eastAsia="宋体" w:hAnsi="宋体" w:cs="Times New Roman"/>
                          <w:kern w:val="2"/>
                          <w:sz w:val="24"/>
                          <w:lang w:eastAsia="zh-CN"/>
                        </w:rPr>
                      </w:pPr>
                    </w:p>
                  </w:txbxContent>
                </v:textbox>
              </v:shape>
            </w:pict>
          </mc:Fallback>
        </mc:AlternateContent>
      </w:r>
    </w:p>
    <w:p w14:paraId="75A0D3AF" w14:textId="77777777" w:rsidR="005F1655" w:rsidRDefault="005F1655">
      <w:pPr>
        <w:spacing w:before="7"/>
        <w:rPr>
          <w:rFonts w:ascii="黑体" w:eastAsia="黑体" w:hAnsi="黑体" w:cs="黑体"/>
          <w:b/>
          <w:bCs/>
          <w:sz w:val="13"/>
          <w:szCs w:val="13"/>
          <w:lang w:eastAsia="zh-CN"/>
        </w:rPr>
      </w:pPr>
    </w:p>
    <w:p w14:paraId="35E5DB15" w14:textId="77777777" w:rsidR="005F1655" w:rsidRDefault="005F1655">
      <w:pPr>
        <w:spacing w:before="4"/>
        <w:rPr>
          <w:rFonts w:ascii="黑体" w:eastAsia="黑体" w:hAnsi="黑体" w:cs="黑体"/>
          <w:b/>
          <w:bCs/>
          <w:sz w:val="13"/>
          <w:szCs w:val="13"/>
          <w:lang w:eastAsia="zh-CN"/>
        </w:rPr>
      </w:pPr>
    </w:p>
    <w:p w14:paraId="4E128DDE" w14:textId="77777777" w:rsidR="005F1655" w:rsidRDefault="005F1655">
      <w:pPr>
        <w:pStyle w:val="1"/>
        <w:spacing w:beforeLines="50" w:before="120" w:line="360" w:lineRule="auto"/>
        <w:ind w:left="0" w:firstLineChars="200" w:firstLine="482"/>
        <w:rPr>
          <w:lang w:eastAsia="zh-CN"/>
        </w:rPr>
      </w:pPr>
    </w:p>
    <w:p w14:paraId="38D9644D" w14:textId="77777777" w:rsidR="005F1655" w:rsidRDefault="00000000">
      <w:pPr>
        <w:pStyle w:val="1"/>
        <w:spacing w:before="0" w:afterLines="50" w:after="120" w:line="360" w:lineRule="auto"/>
        <w:ind w:left="0" w:firstLineChars="200" w:firstLine="482"/>
        <w:rPr>
          <w:lang w:eastAsia="zh-CN"/>
        </w:rPr>
      </w:pPr>
      <w:r>
        <w:rPr>
          <w:rFonts w:hint="eastAsia"/>
          <w:lang w:eastAsia="zh-CN"/>
        </w:rPr>
        <w:t>重要内容提示：</w:t>
      </w:r>
      <w:r>
        <w:rPr>
          <w:lang w:eastAsia="zh-CN"/>
        </w:rPr>
        <w:t></w:t>
      </w:r>
    </w:p>
    <w:p w14:paraId="06E9B1F9" w14:textId="77777777" w:rsidR="005F1655"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每</w:t>
      </w:r>
      <w:proofErr w:type="gramStart"/>
      <w:r>
        <w:rPr>
          <w:rFonts w:ascii="宋体" w:eastAsia="宋体" w:hAnsi="宋体" w:hint="eastAsia"/>
          <w:sz w:val="24"/>
          <w:szCs w:val="24"/>
          <w:lang w:eastAsia="zh-CN"/>
        </w:rPr>
        <w:t>股分</w:t>
      </w:r>
      <w:proofErr w:type="gramEnd"/>
      <w:r>
        <w:rPr>
          <w:rFonts w:ascii="宋体" w:eastAsia="宋体" w:hAnsi="宋体" w:hint="eastAsia"/>
          <w:sz w:val="24"/>
          <w:szCs w:val="24"/>
          <w:lang w:eastAsia="zh-CN"/>
        </w:rPr>
        <w:t>配比例：每10股派发现金股利</w:t>
      </w:r>
      <w:r>
        <w:rPr>
          <w:rFonts w:ascii="宋体" w:eastAsia="宋体" w:hAnsi="宋体"/>
          <w:sz w:val="24"/>
          <w:szCs w:val="24"/>
          <w:lang w:eastAsia="zh-CN"/>
        </w:rPr>
        <w:t>5.10</w:t>
      </w:r>
      <w:r>
        <w:rPr>
          <w:rFonts w:ascii="宋体" w:eastAsia="宋体" w:hAnsi="宋体" w:hint="eastAsia"/>
          <w:sz w:val="24"/>
          <w:szCs w:val="24"/>
          <w:lang w:eastAsia="zh-CN"/>
        </w:rPr>
        <w:t>元（含税），公司不送红股，不进行资本公积转增股本。</w:t>
      </w:r>
    </w:p>
    <w:p w14:paraId="4E5D4252" w14:textId="77777777" w:rsidR="005F1655" w:rsidRDefault="00000000">
      <w:pPr>
        <w:spacing w:line="360" w:lineRule="auto"/>
        <w:ind w:firstLineChars="200" w:firstLine="480"/>
        <w:jc w:val="both"/>
        <w:rPr>
          <w:sz w:val="24"/>
          <w:szCs w:val="24"/>
          <w:lang w:eastAsia="zh-CN"/>
        </w:rPr>
      </w:pPr>
      <w:r>
        <w:rPr>
          <w:rFonts w:hint="eastAsia"/>
          <w:sz w:val="24"/>
          <w:szCs w:val="24"/>
          <w:lang w:eastAsia="zh-CN"/>
        </w:rPr>
        <w:t>本次利润分配以实施权益分派股权登记日登记的总股本为基数，具体日期将在权益分派实施公告中明确。</w:t>
      </w:r>
    </w:p>
    <w:p w14:paraId="6AC62BB6" w14:textId="77777777" w:rsidR="005F1655" w:rsidRDefault="00000000">
      <w:pPr>
        <w:spacing w:line="360" w:lineRule="auto"/>
        <w:ind w:firstLineChars="200" w:firstLine="480"/>
        <w:jc w:val="both"/>
        <w:rPr>
          <w:sz w:val="24"/>
          <w:szCs w:val="24"/>
          <w:lang w:eastAsia="zh-CN"/>
        </w:rPr>
      </w:pPr>
      <w:r>
        <w:rPr>
          <w:rFonts w:hint="eastAsia"/>
          <w:sz w:val="24"/>
          <w:szCs w:val="24"/>
          <w:lang w:eastAsia="zh-CN"/>
        </w:rPr>
        <w:t>实施权益分派的股权登记日前公司总股本发生变动的，</w:t>
      </w:r>
      <w:proofErr w:type="gramStart"/>
      <w:r>
        <w:rPr>
          <w:rFonts w:hint="eastAsia"/>
          <w:sz w:val="24"/>
          <w:szCs w:val="24"/>
          <w:lang w:eastAsia="zh-CN"/>
        </w:rPr>
        <w:t>拟维持每股分配金额</w:t>
      </w:r>
      <w:proofErr w:type="gramEnd"/>
      <w:r>
        <w:rPr>
          <w:rFonts w:hint="eastAsia"/>
          <w:sz w:val="24"/>
          <w:szCs w:val="24"/>
          <w:lang w:eastAsia="zh-CN"/>
        </w:rPr>
        <w:t>不变，相应调整分配总额，并将另行公告具体调整情况。</w:t>
      </w:r>
    </w:p>
    <w:p w14:paraId="4F87E2D9" w14:textId="77777777" w:rsidR="005F1655" w:rsidRDefault="00000000">
      <w:pPr>
        <w:spacing w:beforeLines="50" w:before="120" w:afterLines="50" w:after="120" w:line="360" w:lineRule="auto"/>
        <w:ind w:firstLine="200"/>
        <w:jc w:val="both"/>
        <w:outlineLvl w:val="0"/>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一、利润分配方案内容</w:t>
      </w:r>
    </w:p>
    <w:p w14:paraId="604824A3" w14:textId="40CCCBBE" w:rsidR="00164D81" w:rsidRPr="00164D81" w:rsidRDefault="00164D81" w:rsidP="00164D81">
      <w:pPr>
        <w:widowControl/>
        <w:kinsoku w:val="0"/>
        <w:overflowPunct w:val="0"/>
        <w:autoSpaceDE w:val="0"/>
        <w:autoSpaceDN w:val="0"/>
        <w:adjustRightInd w:val="0"/>
        <w:snapToGrid w:val="0"/>
        <w:spacing w:line="360" w:lineRule="auto"/>
        <w:ind w:firstLineChars="200" w:firstLine="480"/>
        <w:rPr>
          <w:rFonts w:asciiTheme="majorEastAsia" w:eastAsiaTheme="majorEastAsia" w:hAnsiTheme="majorEastAsia"/>
          <w:sz w:val="24"/>
          <w:szCs w:val="24"/>
          <w:lang w:eastAsia="zh-CN"/>
        </w:rPr>
      </w:pPr>
      <w:r w:rsidRPr="00164D81">
        <w:rPr>
          <w:rFonts w:asciiTheme="majorEastAsia" w:eastAsiaTheme="majorEastAsia" w:hAnsiTheme="majorEastAsia"/>
          <w:sz w:val="24"/>
          <w:szCs w:val="24"/>
          <w:lang w:eastAsia="zh-CN"/>
        </w:rPr>
        <w:t>公司拟向全体股东每10股派发现金红利5.10元（含税）。截至2022年12月31日，公司总股本94,826,667股，以此计算合计拟派发现金红利48,361,600.17元（含税），</w:t>
      </w:r>
      <w:r w:rsidRPr="00164D81">
        <w:rPr>
          <w:rFonts w:asciiTheme="majorEastAsia" w:eastAsiaTheme="majorEastAsia" w:hAnsiTheme="majorEastAsia" w:hint="eastAsia"/>
          <w:sz w:val="24"/>
          <w:szCs w:val="24"/>
          <w:lang w:eastAsia="zh-CN"/>
        </w:rPr>
        <w:t>分红金额占合并报表中归属于上市公司普通股股东的净利润的比率</w:t>
      </w:r>
      <w:r w:rsidRPr="00164D81">
        <w:rPr>
          <w:rFonts w:asciiTheme="majorEastAsia" w:eastAsiaTheme="majorEastAsia" w:hAnsiTheme="majorEastAsia"/>
          <w:sz w:val="24"/>
          <w:szCs w:val="24"/>
          <w:lang w:eastAsia="zh-CN"/>
        </w:rPr>
        <w:t>73.03%。</w:t>
      </w:r>
    </w:p>
    <w:p w14:paraId="35C29EED" w14:textId="76C181D3" w:rsidR="00D220F7" w:rsidRDefault="00D220F7" w:rsidP="00D220F7">
      <w:pPr>
        <w:spacing w:line="360" w:lineRule="auto"/>
        <w:ind w:firstLineChars="200" w:firstLine="480"/>
        <w:jc w:val="both"/>
        <w:rPr>
          <w:rFonts w:asciiTheme="majorEastAsia" w:eastAsiaTheme="majorEastAsia" w:hAnsiTheme="majorEastAsia"/>
          <w:sz w:val="24"/>
          <w:szCs w:val="24"/>
          <w:lang w:eastAsia="zh-CN"/>
        </w:rPr>
      </w:pPr>
      <w:r w:rsidRPr="00D220F7">
        <w:rPr>
          <w:rFonts w:asciiTheme="majorEastAsia" w:eastAsiaTheme="majorEastAsia" w:hAnsiTheme="majorEastAsia" w:hint="eastAsia"/>
          <w:sz w:val="24"/>
          <w:szCs w:val="24"/>
          <w:lang w:eastAsia="zh-CN"/>
        </w:rPr>
        <w:t>在实施权益分派的股权登记日前公司总股本发生变动的，</w:t>
      </w:r>
      <w:proofErr w:type="gramStart"/>
      <w:r w:rsidRPr="00D220F7">
        <w:rPr>
          <w:rFonts w:asciiTheme="majorEastAsia" w:eastAsiaTheme="majorEastAsia" w:hAnsiTheme="majorEastAsia" w:hint="eastAsia"/>
          <w:sz w:val="24"/>
          <w:szCs w:val="24"/>
          <w:lang w:eastAsia="zh-CN"/>
        </w:rPr>
        <w:t>拟维持每股分配金额</w:t>
      </w:r>
      <w:proofErr w:type="gramEnd"/>
      <w:r w:rsidRPr="00D220F7">
        <w:rPr>
          <w:rFonts w:asciiTheme="majorEastAsia" w:eastAsiaTheme="majorEastAsia" w:hAnsiTheme="majorEastAsia" w:hint="eastAsia"/>
          <w:sz w:val="24"/>
          <w:szCs w:val="24"/>
          <w:lang w:eastAsia="zh-CN"/>
        </w:rPr>
        <w:t>不变，相应调整分配总额，并将另行公告具体调整情况。</w:t>
      </w:r>
    </w:p>
    <w:p w14:paraId="5949434A" w14:textId="58944AEE"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本次利润分配方案尚需提交2022</w:t>
      </w:r>
      <w:r w:rsidR="00C84F8B">
        <w:rPr>
          <w:rFonts w:asciiTheme="majorEastAsia" w:eastAsiaTheme="majorEastAsia" w:hAnsiTheme="majorEastAsia" w:hint="eastAsia"/>
          <w:sz w:val="24"/>
          <w:szCs w:val="24"/>
          <w:lang w:eastAsia="zh-CN"/>
        </w:rPr>
        <w:t>年</w:t>
      </w:r>
      <w:r>
        <w:rPr>
          <w:rFonts w:asciiTheme="majorEastAsia" w:eastAsiaTheme="majorEastAsia" w:hAnsiTheme="majorEastAsia" w:hint="eastAsia"/>
          <w:sz w:val="24"/>
          <w:szCs w:val="24"/>
          <w:lang w:eastAsia="zh-CN"/>
        </w:rPr>
        <w:t>年度股东大会审议。</w:t>
      </w:r>
    </w:p>
    <w:p w14:paraId="6AA761DF" w14:textId="77777777" w:rsidR="005F1655" w:rsidRDefault="00000000">
      <w:pPr>
        <w:spacing w:beforeLines="50" w:before="120" w:afterLines="50" w:after="120" w:line="360" w:lineRule="auto"/>
        <w:ind w:firstLine="200"/>
        <w:jc w:val="both"/>
        <w:outlineLvl w:val="0"/>
        <w:rPr>
          <w:rFonts w:asciiTheme="majorEastAsia" w:eastAsiaTheme="majorEastAsia" w:hAnsiTheme="majorEastAsia"/>
          <w:b/>
          <w:bCs/>
          <w:sz w:val="24"/>
          <w:szCs w:val="24"/>
          <w:lang w:eastAsia="zh-CN"/>
        </w:rPr>
      </w:pPr>
      <w:r>
        <w:rPr>
          <w:rFonts w:asciiTheme="majorEastAsia" w:eastAsiaTheme="majorEastAsia" w:hAnsiTheme="majorEastAsia"/>
          <w:b/>
          <w:bCs/>
          <w:sz w:val="24"/>
          <w:szCs w:val="24"/>
          <w:lang w:eastAsia="zh-CN"/>
        </w:rPr>
        <w:t>二、公司履行的决策程序</w:t>
      </w:r>
    </w:p>
    <w:p w14:paraId="326288BF"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（一）董事会会议的召开、审议和表决情况</w:t>
      </w:r>
      <w:r>
        <w:rPr>
          <w:rFonts w:asciiTheme="majorEastAsia" w:eastAsiaTheme="majorEastAsia" w:hAnsiTheme="majorEastAsia" w:hint="eastAsia"/>
          <w:sz w:val="24"/>
          <w:szCs w:val="24"/>
          <w:lang w:eastAsia="zh-CN"/>
        </w:rPr>
        <w:t>。</w:t>
      </w:r>
    </w:p>
    <w:p w14:paraId="0924CDF9"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公司于2023年4月21日召开第三届董事会第</w:t>
      </w:r>
      <w:r>
        <w:rPr>
          <w:rFonts w:asciiTheme="majorEastAsia" w:eastAsiaTheme="majorEastAsia" w:hAnsiTheme="majorEastAsia" w:hint="eastAsia"/>
          <w:sz w:val="24"/>
          <w:szCs w:val="24"/>
          <w:lang w:eastAsia="zh-CN"/>
        </w:rPr>
        <w:t>二</w:t>
      </w:r>
      <w:r>
        <w:rPr>
          <w:rFonts w:asciiTheme="majorEastAsia" w:eastAsiaTheme="majorEastAsia" w:hAnsiTheme="majorEastAsia"/>
          <w:sz w:val="24"/>
          <w:szCs w:val="24"/>
          <w:lang w:eastAsia="zh-CN"/>
        </w:rPr>
        <w:t>次会议，审议通过了《关于2022年度利润分配方案的议案》，同意本次利润分配方案并同意将该方案提</w:t>
      </w:r>
      <w:r>
        <w:rPr>
          <w:rFonts w:asciiTheme="majorEastAsia" w:eastAsiaTheme="majorEastAsia" w:hAnsiTheme="majorEastAsia"/>
          <w:sz w:val="24"/>
          <w:szCs w:val="24"/>
          <w:lang w:eastAsia="zh-CN"/>
        </w:rPr>
        <w:lastRenderedPageBreak/>
        <w:t>交公司2022年度股东大会审议。</w:t>
      </w:r>
    </w:p>
    <w:p w14:paraId="63FE80FA"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（二）公司独立董事</w:t>
      </w:r>
      <w:r>
        <w:rPr>
          <w:rFonts w:asciiTheme="majorEastAsia" w:eastAsiaTheme="majorEastAsia" w:hAnsiTheme="majorEastAsia" w:hint="eastAsia"/>
          <w:sz w:val="24"/>
          <w:szCs w:val="24"/>
          <w:lang w:eastAsia="zh-CN"/>
        </w:rPr>
        <w:t>意见</w:t>
      </w:r>
    </w:p>
    <w:p w14:paraId="35A6E783"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公司独立董事认为，</w:t>
      </w:r>
      <w:r>
        <w:rPr>
          <w:rFonts w:asciiTheme="majorEastAsia" w:eastAsiaTheme="majorEastAsia" w:hAnsiTheme="majorEastAsia" w:hint="eastAsia"/>
          <w:sz w:val="24"/>
          <w:szCs w:val="24"/>
          <w:lang w:eastAsia="zh-CN"/>
        </w:rPr>
        <w:t>公司此次利润分配符合《公司章程》中关于利润分配的相关规定，充分考虑了公司2022年度盈利状况、未来发展资金需求以及股东投资回报等综合因素符合公司和全体股东的利益。我们同意本次利润分配预案，并同意提交公司2022年年度股东大会审议。</w:t>
      </w:r>
    </w:p>
    <w:p w14:paraId="5F0C6D9F"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（三）监事会意见</w:t>
      </w:r>
    </w:p>
    <w:p w14:paraId="7AD64F37"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监事会认为：公司拟定的2022年度利润分配预案符合公司实际情况，有利于公司的持续稳定健康发展，不存在损害公司股东尤其是中小股东利益的情形；符合《公司法》和《公司章程》的规定，符合公司经营现状。监事会同意公司本次利润分配预案。</w:t>
      </w:r>
    </w:p>
    <w:p w14:paraId="0AA9E4C0" w14:textId="77777777" w:rsidR="005F1655" w:rsidRDefault="00000000">
      <w:pPr>
        <w:spacing w:beforeLines="50" w:before="120" w:afterLines="50" w:after="120" w:line="360" w:lineRule="auto"/>
        <w:ind w:firstLineChars="200" w:firstLine="482"/>
        <w:jc w:val="both"/>
        <w:outlineLvl w:val="0"/>
        <w:rPr>
          <w:rFonts w:asciiTheme="majorEastAsia" w:eastAsiaTheme="majorEastAsia" w:hAnsiTheme="majorEastAsia"/>
          <w:b/>
          <w:bCs/>
          <w:sz w:val="24"/>
          <w:szCs w:val="24"/>
          <w:lang w:eastAsia="zh-CN"/>
        </w:rPr>
      </w:pPr>
      <w:r>
        <w:rPr>
          <w:rFonts w:asciiTheme="majorEastAsia" w:eastAsiaTheme="majorEastAsia" w:hAnsiTheme="majorEastAsia"/>
          <w:b/>
          <w:bCs/>
          <w:sz w:val="24"/>
          <w:szCs w:val="24"/>
          <w:lang w:eastAsia="zh-CN"/>
        </w:rPr>
        <w:t>三、相关风险提示</w:t>
      </w:r>
    </w:p>
    <w:p w14:paraId="32B93F4A" w14:textId="77777777"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（一）本次利润分配方案结合了公司盈利情况、未来的资金需求等因素，不会对公司经营现金流产生重大影响，不会影响公司正常经营和长期发展。</w:t>
      </w:r>
    </w:p>
    <w:p w14:paraId="07BDD3CD" w14:textId="0029953C" w:rsidR="005F165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（二）公司2022年度利润分配方案尚需提交公司2022</w:t>
      </w:r>
      <w:r w:rsidR="00C84F8B">
        <w:rPr>
          <w:rFonts w:asciiTheme="majorEastAsia" w:eastAsiaTheme="majorEastAsia" w:hAnsiTheme="majorEastAsia" w:hint="eastAsia"/>
          <w:sz w:val="24"/>
          <w:szCs w:val="24"/>
          <w:lang w:eastAsia="zh-CN"/>
        </w:rPr>
        <w:t>年</w:t>
      </w:r>
      <w:r>
        <w:rPr>
          <w:rFonts w:asciiTheme="majorEastAsia" w:eastAsiaTheme="majorEastAsia" w:hAnsiTheme="majorEastAsia"/>
          <w:sz w:val="24"/>
          <w:szCs w:val="24"/>
          <w:lang w:eastAsia="zh-CN"/>
        </w:rPr>
        <w:t xml:space="preserve">年度股东大会审议批准，敬请广大投资者注意投资风险。 </w:t>
      </w:r>
    </w:p>
    <w:p w14:paraId="187311C1" w14:textId="77777777" w:rsidR="005F1655" w:rsidRDefault="005F1655">
      <w:pPr>
        <w:spacing w:line="360" w:lineRule="auto"/>
        <w:ind w:firstLineChars="200" w:firstLine="480"/>
        <w:rPr>
          <w:rFonts w:asciiTheme="majorEastAsia" w:eastAsiaTheme="majorEastAsia" w:hAnsiTheme="majorEastAsia"/>
          <w:sz w:val="24"/>
          <w:szCs w:val="24"/>
          <w:lang w:eastAsia="zh-CN"/>
        </w:rPr>
      </w:pPr>
    </w:p>
    <w:p w14:paraId="117CC806" w14:textId="77777777" w:rsidR="005F1655"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特此公告</w:t>
      </w:r>
    </w:p>
    <w:p w14:paraId="7B12366A" w14:textId="77777777" w:rsidR="005F1655" w:rsidRDefault="005F1655">
      <w:pPr>
        <w:spacing w:line="360" w:lineRule="auto"/>
        <w:ind w:firstLineChars="200" w:firstLine="480"/>
        <w:rPr>
          <w:rFonts w:asciiTheme="majorEastAsia" w:eastAsiaTheme="majorEastAsia" w:hAnsiTheme="majorEastAsia"/>
          <w:sz w:val="24"/>
          <w:szCs w:val="24"/>
          <w:lang w:eastAsia="zh-CN"/>
        </w:rPr>
      </w:pPr>
    </w:p>
    <w:p w14:paraId="04BE6F1B" w14:textId="77777777" w:rsidR="005F1655" w:rsidRDefault="005F1655">
      <w:pPr>
        <w:spacing w:line="360" w:lineRule="auto"/>
        <w:ind w:firstLineChars="200" w:firstLine="480"/>
        <w:rPr>
          <w:rFonts w:asciiTheme="majorEastAsia" w:eastAsiaTheme="majorEastAsia" w:hAnsiTheme="majorEastAsia"/>
          <w:sz w:val="24"/>
          <w:szCs w:val="24"/>
          <w:lang w:eastAsia="zh-CN"/>
        </w:rPr>
      </w:pPr>
    </w:p>
    <w:p w14:paraId="18B9162F" w14:textId="77777777" w:rsidR="005F1655" w:rsidRDefault="005F1655">
      <w:pPr>
        <w:spacing w:line="360" w:lineRule="auto"/>
        <w:ind w:left="284" w:right="284"/>
        <w:jc w:val="right"/>
        <w:rPr>
          <w:rFonts w:asciiTheme="majorEastAsia" w:eastAsiaTheme="majorEastAsia" w:hAnsiTheme="majorEastAsia"/>
          <w:sz w:val="24"/>
          <w:szCs w:val="24"/>
          <w:lang w:eastAsia="zh-CN"/>
        </w:rPr>
      </w:pPr>
    </w:p>
    <w:p w14:paraId="0F94C578" w14:textId="77777777" w:rsidR="005F1655"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赛恩斯环保股份有限公司董事会</w:t>
      </w:r>
    </w:p>
    <w:p w14:paraId="59684F81" w14:textId="77777777" w:rsidR="005F1655"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023年4月25日</w:t>
      </w:r>
    </w:p>
    <w:sectPr w:rsidR="005F1655">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F1DE" w14:textId="77777777" w:rsidR="00047139" w:rsidRDefault="00047139">
      <w:r>
        <w:separator/>
      </w:r>
    </w:p>
  </w:endnote>
  <w:endnote w:type="continuationSeparator" w:id="0">
    <w:p w14:paraId="4B7814BF" w14:textId="77777777" w:rsidR="00047139" w:rsidRDefault="0004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3B50" w14:textId="77777777" w:rsidR="005F1655"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043E7CAC" wp14:editId="6C418270">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14:paraId="701FA96B" w14:textId="77777777" w:rsidR="005F1655"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043E7CAC"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701FA96B" w14:textId="77777777" w:rsidR="005F1655"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790E" w14:textId="77777777" w:rsidR="00047139" w:rsidRDefault="00047139">
      <w:r>
        <w:separator/>
      </w:r>
    </w:p>
  </w:footnote>
  <w:footnote w:type="continuationSeparator" w:id="0">
    <w:p w14:paraId="7B0A93C3" w14:textId="77777777" w:rsidR="00047139" w:rsidRDefault="00047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lMDQ3YzA4Njg4MDAxZWY3OWJiNGQ4YmI1NjA5ZmIifQ=="/>
  </w:docVars>
  <w:rsids>
    <w:rsidRoot w:val="003F085C"/>
    <w:rsid w:val="FF77C15C"/>
    <w:rsid w:val="00000F10"/>
    <w:rsid w:val="000134C7"/>
    <w:rsid w:val="000232C8"/>
    <w:rsid w:val="000272BF"/>
    <w:rsid w:val="00047139"/>
    <w:rsid w:val="00054489"/>
    <w:rsid w:val="00076B37"/>
    <w:rsid w:val="000A12F8"/>
    <w:rsid w:val="000F4EC5"/>
    <w:rsid w:val="000F5F59"/>
    <w:rsid w:val="00101A17"/>
    <w:rsid w:val="001034E8"/>
    <w:rsid w:val="00103B72"/>
    <w:rsid w:val="00122B6C"/>
    <w:rsid w:val="0012493F"/>
    <w:rsid w:val="00143296"/>
    <w:rsid w:val="0015397F"/>
    <w:rsid w:val="00163CE9"/>
    <w:rsid w:val="00164D81"/>
    <w:rsid w:val="00183FB2"/>
    <w:rsid w:val="0019360E"/>
    <w:rsid w:val="001A14E0"/>
    <w:rsid w:val="001A7522"/>
    <w:rsid w:val="00203595"/>
    <w:rsid w:val="0020492E"/>
    <w:rsid w:val="00204DE3"/>
    <w:rsid w:val="00225CFC"/>
    <w:rsid w:val="002510CD"/>
    <w:rsid w:val="00252E8D"/>
    <w:rsid w:val="00255F33"/>
    <w:rsid w:val="002755CF"/>
    <w:rsid w:val="00280C5F"/>
    <w:rsid w:val="00284673"/>
    <w:rsid w:val="00285F2D"/>
    <w:rsid w:val="00294559"/>
    <w:rsid w:val="002C5A71"/>
    <w:rsid w:val="002E7AFF"/>
    <w:rsid w:val="002E7C39"/>
    <w:rsid w:val="002F2255"/>
    <w:rsid w:val="002F573A"/>
    <w:rsid w:val="00300DF9"/>
    <w:rsid w:val="00305710"/>
    <w:rsid w:val="00311831"/>
    <w:rsid w:val="003128E4"/>
    <w:rsid w:val="0032153B"/>
    <w:rsid w:val="00344126"/>
    <w:rsid w:val="00354BB4"/>
    <w:rsid w:val="00364A63"/>
    <w:rsid w:val="003664CD"/>
    <w:rsid w:val="003958BD"/>
    <w:rsid w:val="0039712C"/>
    <w:rsid w:val="003B02D0"/>
    <w:rsid w:val="003B0799"/>
    <w:rsid w:val="003B2E49"/>
    <w:rsid w:val="003C6C78"/>
    <w:rsid w:val="003F085C"/>
    <w:rsid w:val="00405510"/>
    <w:rsid w:val="004161EE"/>
    <w:rsid w:val="00430D11"/>
    <w:rsid w:val="00433D72"/>
    <w:rsid w:val="004355EC"/>
    <w:rsid w:val="00455073"/>
    <w:rsid w:val="004730E7"/>
    <w:rsid w:val="0048325F"/>
    <w:rsid w:val="00493378"/>
    <w:rsid w:val="004A2D19"/>
    <w:rsid w:val="004B06F0"/>
    <w:rsid w:val="004B24CB"/>
    <w:rsid w:val="004B45D5"/>
    <w:rsid w:val="004B79C9"/>
    <w:rsid w:val="004D457E"/>
    <w:rsid w:val="004E33EA"/>
    <w:rsid w:val="0050633A"/>
    <w:rsid w:val="00506DE1"/>
    <w:rsid w:val="00511702"/>
    <w:rsid w:val="00512177"/>
    <w:rsid w:val="005308AB"/>
    <w:rsid w:val="00541F3D"/>
    <w:rsid w:val="0054467B"/>
    <w:rsid w:val="0055359E"/>
    <w:rsid w:val="00557B21"/>
    <w:rsid w:val="00561288"/>
    <w:rsid w:val="00585ACC"/>
    <w:rsid w:val="00594378"/>
    <w:rsid w:val="005A1642"/>
    <w:rsid w:val="005A3087"/>
    <w:rsid w:val="005A476A"/>
    <w:rsid w:val="005A483C"/>
    <w:rsid w:val="005E5041"/>
    <w:rsid w:val="005E5BB1"/>
    <w:rsid w:val="005F1655"/>
    <w:rsid w:val="005F27D0"/>
    <w:rsid w:val="005F4794"/>
    <w:rsid w:val="00633B1E"/>
    <w:rsid w:val="00654CEF"/>
    <w:rsid w:val="00656697"/>
    <w:rsid w:val="00660EEF"/>
    <w:rsid w:val="00671639"/>
    <w:rsid w:val="006B1882"/>
    <w:rsid w:val="006C7758"/>
    <w:rsid w:val="006D0D07"/>
    <w:rsid w:val="006D11F9"/>
    <w:rsid w:val="006F6F94"/>
    <w:rsid w:val="00700447"/>
    <w:rsid w:val="00704293"/>
    <w:rsid w:val="00706BAF"/>
    <w:rsid w:val="0071181F"/>
    <w:rsid w:val="00716918"/>
    <w:rsid w:val="00754C0F"/>
    <w:rsid w:val="007569AD"/>
    <w:rsid w:val="00773D09"/>
    <w:rsid w:val="00775CFD"/>
    <w:rsid w:val="007968E2"/>
    <w:rsid w:val="007B42EF"/>
    <w:rsid w:val="007C4EC4"/>
    <w:rsid w:val="007D1889"/>
    <w:rsid w:val="007E08D3"/>
    <w:rsid w:val="00800A81"/>
    <w:rsid w:val="00816919"/>
    <w:rsid w:val="00855499"/>
    <w:rsid w:val="0086020F"/>
    <w:rsid w:val="00862839"/>
    <w:rsid w:val="008778D3"/>
    <w:rsid w:val="00881F7D"/>
    <w:rsid w:val="008D00EE"/>
    <w:rsid w:val="00900E48"/>
    <w:rsid w:val="00900EDC"/>
    <w:rsid w:val="00920F96"/>
    <w:rsid w:val="009573A7"/>
    <w:rsid w:val="00957872"/>
    <w:rsid w:val="009618CA"/>
    <w:rsid w:val="009713E2"/>
    <w:rsid w:val="009A1AB8"/>
    <w:rsid w:val="009B3511"/>
    <w:rsid w:val="009B4EED"/>
    <w:rsid w:val="009B4FF6"/>
    <w:rsid w:val="009C0AD9"/>
    <w:rsid w:val="009C7829"/>
    <w:rsid w:val="009E201A"/>
    <w:rsid w:val="009F32C8"/>
    <w:rsid w:val="009F419D"/>
    <w:rsid w:val="00A00A5D"/>
    <w:rsid w:val="00A11CCE"/>
    <w:rsid w:val="00A3036C"/>
    <w:rsid w:val="00A719F3"/>
    <w:rsid w:val="00A834A4"/>
    <w:rsid w:val="00A84465"/>
    <w:rsid w:val="00AB1A1D"/>
    <w:rsid w:val="00AC28B8"/>
    <w:rsid w:val="00AC6851"/>
    <w:rsid w:val="00AD74E8"/>
    <w:rsid w:val="00AE4C21"/>
    <w:rsid w:val="00B274C9"/>
    <w:rsid w:val="00B34F12"/>
    <w:rsid w:val="00B42B9E"/>
    <w:rsid w:val="00B42C75"/>
    <w:rsid w:val="00B44774"/>
    <w:rsid w:val="00B46C16"/>
    <w:rsid w:val="00B55431"/>
    <w:rsid w:val="00B612E5"/>
    <w:rsid w:val="00B63BD5"/>
    <w:rsid w:val="00B75262"/>
    <w:rsid w:val="00BA108B"/>
    <w:rsid w:val="00BA6BD9"/>
    <w:rsid w:val="00BB4D60"/>
    <w:rsid w:val="00BC318E"/>
    <w:rsid w:val="00C04EBF"/>
    <w:rsid w:val="00C06FA9"/>
    <w:rsid w:val="00C21557"/>
    <w:rsid w:val="00C227D8"/>
    <w:rsid w:val="00C74160"/>
    <w:rsid w:val="00C75015"/>
    <w:rsid w:val="00C84F8B"/>
    <w:rsid w:val="00C85C46"/>
    <w:rsid w:val="00C924C8"/>
    <w:rsid w:val="00CC603F"/>
    <w:rsid w:val="00CE3B33"/>
    <w:rsid w:val="00CE46E8"/>
    <w:rsid w:val="00CE4F05"/>
    <w:rsid w:val="00CF6737"/>
    <w:rsid w:val="00D0713E"/>
    <w:rsid w:val="00D132BA"/>
    <w:rsid w:val="00D220F7"/>
    <w:rsid w:val="00D71E81"/>
    <w:rsid w:val="00D90FB6"/>
    <w:rsid w:val="00DA2184"/>
    <w:rsid w:val="00DC0E18"/>
    <w:rsid w:val="00DC7368"/>
    <w:rsid w:val="00DF68B2"/>
    <w:rsid w:val="00E3286C"/>
    <w:rsid w:val="00E644F0"/>
    <w:rsid w:val="00E672DE"/>
    <w:rsid w:val="00E703E2"/>
    <w:rsid w:val="00E92D6E"/>
    <w:rsid w:val="00EC342A"/>
    <w:rsid w:val="00EC5FDF"/>
    <w:rsid w:val="00ED7758"/>
    <w:rsid w:val="00EE01F0"/>
    <w:rsid w:val="00EE2B39"/>
    <w:rsid w:val="00EF57BD"/>
    <w:rsid w:val="00F02E36"/>
    <w:rsid w:val="00F54B4D"/>
    <w:rsid w:val="00F861C7"/>
    <w:rsid w:val="00F8744F"/>
    <w:rsid w:val="00F9751A"/>
    <w:rsid w:val="00FA06C4"/>
    <w:rsid w:val="00FA0726"/>
    <w:rsid w:val="00FD2820"/>
    <w:rsid w:val="00FD52D0"/>
    <w:rsid w:val="00FF3BAF"/>
    <w:rsid w:val="00FF7574"/>
    <w:rsid w:val="13C96CEA"/>
    <w:rsid w:val="17D02B6E"/>
    <w:rsid w:val="1A626DED"/>
    <w:rsid w:val="1C8B0004"/>
    <w:rsid w:val="1D941622"/>
    <w:rsid w:val="21BD0646"/>
    <w:rsid w:val="239E6C58"/>
    <w:rsid w:val="240D43A8"/>
    <w:rsid w:val="265946A9"/>
    <w:rsid w:val="297530FD"/>
    <w:rsid w:val="2AF84B1D"/>
    <w:rsid w:val="2C960FA9"/>
    <w:rsid w:val="36930279"/>
    <w:rsid w:val="3C884BE7"/>
    <w:rsid w:val="3F563989"/>
    <w:rsid w:val="404F2343"/>
    <w:rsid w:val="54B36C45"/>
    <w:rsid w:val="58663827"/>
    <w:rsid w:val="631775E8"/>
    <w:rsid w:val="64611231"/>
    <w:rsid w:val="6AD3401E"/>
    <w:rsid w:val="71940305"/>
    <w:rsid w:val="75AD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0EC7BE"/>
  <w15:docId w15:val="{002B8165-EC87-44B8-B140-DC200FF4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rPr>
      <w:sz w:val="22"/>
      <w:szCs w:val="22"/>
      <w:lang w:eastAsia="en-US"/>
    </w:rPr>
  </w:style>
  <w:style w:type="paragraph" w:styleId="af1">
    <w:name w:val="Revision"/>
    <w:hidden/>
    <w:uiPriority w:val="99"/>
    <w:semiHidden/>
    <w:rsid w:val="00706B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用户;HYT</dc:creator>
  <cp:lastModifiedBy>SES0140</cp:lastModifiedBy>
  <cp:revision>7</cp:revision>
  <dcterms:created xsi:type="dcterms:W3CDTF">2023-04-19T09:16:00Z</dcterms:created>
  <dcterms:modified xsi:type="dcterms:W3CDTF">2023-04-24T02:22:00Z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2052-11.1.0.14036</vt:lpwstr>
  </property>
  <property fmtid="{D5CDD505-2E9C-101B-9397-08002B2CF9AE}" pid="6" name="ICV">
    <vt:lpwstr>9E2ADBC00CA9449084DAD19EA59D8638</vt:lpwstr>
  </property>
</Properties>
</file>