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
        <w:rPr>
          <w:rFonts w:ascii="Times New Roman" w:hAnsi="Times New Roman" w:eastAsia="Times New Roman" w:cs="Times New Roman"/>
          <w:b/>
          <w:bCs/>
          <w:sz w:val="6"/>
          <w:szCs w:val="6"/>
          <w:highlight w:val="none"/>
        </w:rPr>
      </w:pPr>
      <w:r>
        <w:rPr>
          <w:rFonts w:ascii="Times New Roman" w:hAnsi="Times New Roman" w:eastAsia="Times New Roman" w:cs="Times New Roman"/>
          <w:b/>
          <w:bCs/>
          <w:sz w:val="6"/>
          <w:szCs w:val="6"/>
          <w:highlight w:val="none"/>
        </w:rPr>
        <w:softHyphen/>
      </w:r>
    </w:p>
    <w:tbl>
      <w:tblPr>
        <w:tblStyle w:val="13"/>
        <w:tblW w:w="0" w:type="auto"/>
        <w:tblInd w:w="110" w:type="dxa"/>
        <w:tblLayout w:type="fixed"/>
        <w:tblCellMar>
          <w:top w:w="0" w:type="dxa"/>
          <w:left w:w="0" w:type="dxa"/>
          <w:bottom w:w="0" w:type="dxa"/>
          <w:right w:w="0" w:type="dxa"/>
        </w:tblCellMar>
      </w:tblPr>
      <w:tblGrid>
        <w:gridCol w:w="2711"/>
        <w:gridCol w:w="3214"/>
        <w:gridCol w:w="2843"/>
      </w:tblGrid>
      <w:tr>
        <w:tblPrEx>
          <w:tblCellMar>
            <w:top w:w="0" w:type="dxa"/>
            <w:left w:w="0" w:type="dxa"/>
            <w:bottom w:w="0" w:type="dxa"/>
            <w:right w:w="0" w:type="dxa"/>
          </w:tblCellMar>
        </w:tblPrEx>
        <w:trPr>
          <w:trHeight w:val="373" w:hRule="exact"/>
        </w:trPr>
        <w:tc>
          <w:tcPr>
            <w:tcW w:w="2711" w:type="dxa"/>
            <w:tcBorders>
              <w:top w:val="nil"/>
              <w:left w:val="nil"/>
              <w:bottom w:val="nil"/>
              <w:right w:val="nil"/>
            </w:tcBorders>
          </w:tcPr>
          <w:p>
            <w:pPr>
              <w:pStyle w:val="15"/>
              <w:spacing w:line="318" w:lineRule="exact"/>
              <w:ind w:left="230"/>
              <w:rPr>
                <w:rFonts w:cs="Times New Roman" w:asciiTheme="majorEastAsia" w:hAnsiTheme="majorEastAsia" w:eastAsiaTheme="majorEastAsia"/>
                <w:b/>
                <w:bCs/>
                <w:sz w:val="24"/>
                <w:szCs w:val="24"/>
                <w:highlight w:val="none"/>
              </w:rPr>
            </w:pPr>
            <w:r>
              <w:rPr>
                <w:rFonts w:cs="宋体" w:asciiTheme="majorEastAsia" w:hAnsiTheme="majorEastAsia" w:eastAsiaTheme="majorEastAsia"/>
                <w:b/>
                <w:bCs/>
                <w:sz w:val="24"/>
                <w:szCs w:val="24"/>
                <w:highlight w:val="none"/>
              </w:rPr>
              <w:t>证券代码：</w:t>
            </w:r>
            <w:r>
              <w:rPr>
                <w:rFonts w:cs="Times New Roman" w:asciiTheme="majorEastAsia" w:hAnsiTheme="majorEastAsia" w:eastAsiaTheme="majorEastAsia"/>
                <w:b/>
                <w:bCs/>
                <w:sz w:val="24"/>
                <w:szCs w:val="24"/>
                <w:highlight w:val="none"/>
                <w:lang w:eastAsia="zh-CN"/>
              </w:rPr>
              <w:t>688480</w:t>
            </w:r>
          </w:p>
        </w:tc>
        <w:tc>
          <w:tcPr>
            <w:tcW w:w="3214" w:type="dxa"/>
            <w:tcBorders>
              <w:top w:val="nil"/>
              <w:left w:val="nil"/>
              <w:bottom w:val="nil"/>
              <w:right w:val="nil"/>
            </w:tcBorders>
          </w:tcPr>
          <w:p>
            <w:pPr>
              <w:pStyle w:val="15"/>
              <w:spacing w:line="300" w:lineRule="exact"/>
              <w:ind w:left="560"/>
              <w:rPr>
                <w:rFonts w:cs="宋体" w:asciiTheme="majorEastAsia" w:hAnsiTheme="majorEastAsia" w:eastAsiaTheme="majorEastAsia"/>
                <w:b/>
                <w:bCs/>
                <w:sz w:val="24"/>
                <w:szCs w:val="24"/>
                <w:highlight w:val="none"/>
              </w:rPr>
            </w:pPr>
            <w:r>
              <w:rPr>
                <w:rFonts w:cs="宋体" w:asciiTheme="majorEastAsia" w:hAnsiTheme="majorEastAsia" w:eastAsiaTheme="majorEastAsia"/>
                <w:b/>
                <w:bCs/>
                <w:sz w:val="24"/>
                <w:szCs w:val="24"/>
                <w:highlight w:val="none"/>
              </w:rPr>
              <w:t>证券简称：</w:t>
            </w:r>
            <w:r>
              <w:rPr>
                <w:rFonts w:hint="eastAsia" w:cs="Times New Roman" w:asciiTheme="majorEastAsia" w:hAnsiTheme="majorEastAsia" w:eastAsiaTheme="majorEastAsia"/>
                <w:b/>
                <w:bCs/>
                <w:sz w:val="24"/>
                <w:szCs w:val="24"/>
                <w:highlight w:val="none"/>
                <w:lang w:eastAsia="zh-CN"/>
              </w:rPr>
              <w:t>赛恩斯</w:t>
            </w:r>
          </w:p>
        </w:tc>
        <w:tc>
          <w:tcPr>
            <w:tcW w:w="2843" w:type="dxa"/>
            <w:tcBorders>
              <w:top w:val="nil"/>
              <w:left w:val="nil"/>
              <w:bottom w:val="nil"/>
              <w:right w:val="nil"/>
            </w:tcBorders>
          </w:tcPr>
          <w:p>
            <w:pPr>
              <w:pStyle w:val="15"/>
              <w:spacing w:line="318" w:lineRule="exact"/>
              <w:rPr>
                <w:rFonts w:cs="Times New Roman" w:asciiTheme="majorEastAsia" w:hAnsiTheme="majorEastAsia" w:eastAsiaTheme="majorEastAsia"/>
                <w:b/>
                <w:bCs/>
                <w:sz w:val="24"/>
                <w:szCs w:val="24"/>
                <w:highlight w:val="none"/>
                <w:lang w:eastAsia="zh-CN"/>
              </w:rPr>
            </w:pPr>
            <w:r>
              <w:rPr>
                <w:rFonts w:cs="宋体" w:asciiTheme="majorEastAsia" w:hAnsiTheme="majorEastAsia" w:eastAsiaTheme="majorEastAsia"/>
                <w:b/>
                <w:bCs/>
                <w:sz w:val="24"/>
                <w:szCs w:val="24"/>
                <w:highlight w:val="none"/>
              </w:rPr>
              <w:t>公告编号：</w:t>
            </w:r>
            <w:r>
              <w:rPr>
                <w:rFonts w:cs="Times New Roman" w:asciiTheme="majorEastAsia" w:hAnsiTheme="majorEastAsia" w:eastAsiaTheme="majorEastAsia"/>
                <w:b/>
                <w:bCs/>
                <w:sz w:val="24"/>
                <w:szCs w:val="24"/>
                <w:highlight w:val="none"/>
              </w:rPr>
              <w:t>202</w:t>
            </w:r>
            <w:r>
              <w:rPr>
                <w:rFonts w:cs="Times New Roman" w:asciiTheme="majorEastAsia" w:hAnsiTheme="majorEastAsia" w:eastAsiaTheme="majorEastAsia"/>
                <w:b/>
                <w:bCs/>
                <w:sz w:val="24"/>
                <w:szCs w:val="24"/>
                <w:highlight w:val="none"/>
                <w:lang w:eastAsia="zh-CN"/>
              </w:rPr>
              <w:t>3</w:t>
            </w:r>
            <w:r>
              <w:rPr>
                <w:rFonts w:cs="Times New Roman" w:asciiTheme="majorEastAsia" w:hAnsiTheme="majorEastAsia" w:eastAsiaTheme="majorEastAsia"/>
                <w:b/>
                <w:bCs/>
                <w:sz w:val="24"/>
                <w:szCs w:val="24"/>
                <w:highlight w:val="none"/>
              </w:rPr>
              <w:t>-</w:t>
            </w:r>
            <w:r>
              <w:rPr>
                <w:rFonts w:hint="eastAsia" w:cs="Times New Roman" w:asciiTheme="majorEastAsia" w:hAnsiTheme="majorEastAsia" w:eastAsiaTheme="majorEastAsia"/>
                <w:b/>
                <w:bCs/>
                <w:sz w:val="24"/>
                <w:szCs w:val="24"/>
                <w:highlight w:val="none"/>
                <w:lang w:eastAsia="zh-CN"/>
              </w:rPr>
              <w:t>014</w:t>
            </w:r>
          </w:p>
        </w:tc>
      </w:tr>
    </w:tbl>
    <w:p>
      <w:pPr>
        <w:rPr>
          <w:rFonts w:cs="Times New Roman" w:asciiTheme="majorEastAsia" w:hAnsiTheme="majorEastAsia" w:eastAsiaTheme="majorEastAsia"/>
          <w:sz w:val="20"/>
          <w:szCs w:val="20"/>
          <w:highlight w:val="none"/>
        </w:rPr>
      </w:pPr>
    </w:p>
    <w:p>
      <w:pPr>
        <w:spacing w:line="360" w:lineRule="auto"/>
        <w:jc w:val="center"/>
        <w:rPr>
          <w:rFonts w:ascii="宋体" w:hAnsi="宋体" w:eastAsia="宋体" w:cs="宋体"/>
          <w:b/>
          <w:bCs/>
          <w:color w:val="FF0000"/>
          <w:sz w:val="36"/>
          <w:szCs w:val="36"/>
          <w:highlight w:val="none"/>
          <w:lang w:eastAsia="zh-CN"/>
        </w:rPr>
      </w:pPr>
    </w:p>
    <w:p>
      <w:pPr>
        <w:spacing w:line="360" w:lineRule="auto"/>
        <w:jc w:val="center"/>
        <w:rPr>
          <w:rFonts w:ascii="宋体" w:hAnsi="宋体" w:eastAsia="宋体" w:cs="宋体"/>
          <w:b/>
          <w:bCs/>
          <w:color w:val="FF0000"/>
          <w:w w:val="99"/>
          <w:sz w:val="36"/>
          <w:szCs w:val="36"/>
          <w:highlight w:val="none"/>
          <w:lang w:eastAsia="zh-CN"/>
        </w:rPr>
      </w:pPr>
      <w:r>
        <w:rPr>
          <w:rFonts w:hint="eastAsia" w:ascii="宋体" w:hAnsi="宋体" w:eastAsia="宋体" w:cs="宋体"/>
          <w:b/>
          <w:bCs/>
          <w:color w:val="FF0000"/>
          <w:sz w:val="36"/>
          <w:szCs w:val="36"/>
          <w:highlight w:val="none"/>
          <w:lang w:eastAsia="zh-CN"/>
        </w:rPr>
        <w:t>赛恩斯环保股份有限公司</w:t>
      </w:r>
    </w:p>
    <w:p>
      <w:pPr>
        <w:spacing w:line="360" w:lineRule="auto"/>
        <w:jc w:val="center"/>
        <w:rPr>
          <w:rFonts w:ascii="宋体" w:hAnsi="宋体" w:eastAsia="宋体" w:cs="宋体"/>
          <w:b/>
          <w:bCs/>
          <w:color w:val="FF0000"/>
          <w:sz w:val="36"/>
          <w:szCs w:val="36"/>
          <w:highlight w:val="none"/>
          <w:lang w:eastAsia="zh-CN"/>
        </w:rPr>
      </w:pPr>
      <w:r>
        <w:rPr>
          <w:rFonts w:hint="eastAsia" w:ascii="宋体" w:hAnsi="宋体" w:eastAsia="宋体" w:cs="宋体"/>
          <w:b/>
          <w:bCs/>
          <w:color w:val="FF0000"/>
          <w:sz w:val="36"/>
          <w:szCs w:val="36"/>
          <w:highlight w:val="none"/>
          <w:lang w:eastAsia="zh-CN"/>
        </w:rPr>
        <w:t>2023年限制性股票激励计划（草案）摘要公告</w:t>
      </w:r>
    </w:p>
    <w:p>
      <w:pPr>
        <w:spacing w:line="360" w:lineRule="auto"/>
        <w:jc w:val="center"/>
        <w:rPr>
          <w:rFonts w:ascii="宋体" w:hAnsi="宋体" w:eastAsia="宋体" w:cs="宋体"/>
          <w:b/>
          <w:bCs/>
          <w:color w:val="FF0000"/>
          <w:sz w:val="36"/>
          <w:szCs w:val="36"/>
          <w:highlight w:val="none"/>
          <w:lang w:eastAsia="zh-CN"/>
        </w:rPr>
      </w:pPr>
      <w:r>
        <w:rPr>
          <w:rFonts w:ascii="黑体" w:hAnsi="黑体" w:eastAsia="黑体" w:cs="黑体"/>
          <w:position w:val="-19"/>
          <w:sz w:val="20"/>
          <w:szCs w:val="20"/>
          <w:highlight w:val="none"/>
          <w:lang w:eastAsia="zh-CN"/>
        </w:rPr>
        <mc:AlternateContent>
          <mc:Choice Requires="wps">
            <w:drawing>
              <wp:anchor distT="0" distB="0" distL="0" distR="0" simplePos="0" relativeHeight="251659264" behindDoc="0" locked="0" layoutInCell="1" allowOverlap="1">
                <wp:simplePos x="0" y="0"/>
                <wp:positionH relativeFrom="column">
                  <wp:posOffset>56515</wp:posOffset>
                </wp:positionH>
                <wp:positionV relativeFrom="paragraph">
                  <wp:posOffset>436245</wp:posOffset>
                </wp:positionV>
                <wp:extent cx="5270500" cy="639445"/>
                <wp:effectExtent l="4445" t="5080" r="20955" b="222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pPr>
                              <w:spacing w:before="120" w:beforeLines="50" w:line="360" w:lineRule="auto"/>
                              <w:ind w:firstLine="480" w:firstLineChars="200"/>
                              <w:jc w:val="center"/>
                              <w:rPr>
                                <w:rFonts w:ascii="宋体" w:hAnsi="宋体" w:eastAsia="宋体" w:cs="Times New Roman"/>
                                <w:kern w:val="2"/>
                                <w:sz w:val="24"/>
                                <w:lang w:eastAsia="zh-CN"/>
                              </w:rPr>
                            </w:pPr>
                            <w:r>
                              <w:rPr>
                                <w:rFonts w:hint="eastAsia" w:ascii="宋体" w:hAnsi="宋体" w:eastAsia="宋体" w:cs="Times New Roman"/>
                                <w:kern w:val="2"/>
                                <w:sz w:val="24"/>
                                <w:lang w:eastAsia="zh-CN"/>
                              </w:rPr>
                              <w:t>本公司董事会及全体董事保证本公告内容不存在任何虚假记载、误导性陈述或者重大遗漏，并对其内容的真实性、准确性和完整性依法承担法律责任。</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45pt;margin-top:34.35pt;height:50.35pt;width:415pt;z-index:251659264;mso-width-relative:page;mso-height-relative:page;" filled="f" stroked="t" coordsize="21600,21600" o:gfxdata="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eQJ7V&#10;AAAACAEAAA8AAAAAAAAAAQAgAAAAIgAAAGRycy9kb3ducmV2LnhtbFBLAQIUABQAAAAIAIdO4kB2&#10;7yKWIwIAAE0EAAAOAAAAAAAAAAEAIAAAACQBAABkcnMvZTJvRG9jLnhtbFBLBQYAAAAABgAGAFkB&#10;AAC5BQAAAAA=&#10;">
                <v:fill on="f" focussize="0,0"/>
                <v:stroke weight="0.48pt" color="#000000" miterlimit="8" joinstyle="miter"/>
                <v:imagedata o:title=""/>
                <o:lock v:ext="edit" aspectratio="f"/>
                <v:textbox inset="0mm,0mm,0mm,0mm">
                  <w:txbxContent>
                    <w:p>
                      <w:pPr>
                        <w:spacing w:before="120" w:beforeLines="50" w:line="360" w:lineRule="auto"/>
                        <w:ind w:firstLine="480" w:firstLineChars="200"/>
                        <w:jc w:val="center"/>
                        <w:rPr>
                          <w:rFonts w:ascii="宋体" w:hAnsi="宋体" w:eastAsia="宋体" w:cs="Times New Roman"/>
                          <w:kern w:val="2"/>
                          <w:sz w:val="24"/>
                          <w:lang w:eastAsia="zh-CN"/>
                        </w:rPr>
                      </w:pPr>
                      <w:r>
                        <w:rPr>
                          <w:rFonts w:hint="eastAsia" w:ascii="宋体" w:hAnsi="宋体" w:eastAsia="宋体" w:cs="Times New Roman"/>
                          <w:kern w:val="2"/>
                          <w:sz w:val="24"/>
                          <w:lang w:eastAsia="zh-CN"/>
                        </w:rPr>
                        <w:t>本公司董事会及全体董事保证本公告内容不存在任何虚假记载、误导性陈述或者重大遗漏，并对其内容的真实性、准确性和完整性依法承担法律责任。</w:t>
                      </w:r>
                    </w:p>
                  </w:txbxContent>
                </v:textbox>
              </v:shape>
            </w:pict>
          </mc:Fallback>
        </mc:AlternateContent>
      </w:r>
    </w:p>
    <w:p>
      <w:pPr>
        <w:spacing w:line="360" w:lineRule="auto"/>
        <w:jc w:val="center"/>
        <w:rPr>
          <w:rFonts w:ascii="宋体" w:hAnsi="宋体" w:eastAsia="宋体" w:cs="宋体"/>
          <w:b/>
          <w:bCs/>
          <w:color w:val="FF0000"/>
          <w:sz w:val="36"/>
          <w:szCs w:val="36"/>
          <w:highlight w:val="none"/>
          <w:lang w:eastAsia="zh-CN"/>
        </w:rPr>
      </w:pPr>
    </w:p>
    <w:p>
      <w:pPr>
        <w:spacing w:before="7"/>
        <w:rPr>
          <w:rFonts w:ascii="黑体" w:hAnsi="黑体" w:eastAsia="黑体" w:cs="黑体"/>
          <w:b/>
          <w:bCs/>
          <w:sz w:val="13"/>
          <w:szCs w:val="13"/>
          <w:highlight w:val="none"/>
          <w:lang w:eastAsia="zh-CN"/>
        </w:rPr>
      </w:pPr>
    </w:p>
    <w:p>
      <w:pPr>
        <w:spacing w:before="4"/>
        <w:rPr>
          <w:rFonts w:ascii="黑体" w:hAnsi="黑体" w:eastAsia="黑体" w:cs="黑体"/>
          <w:b/>
          <w:bCs/>
          <w:sz w:val="13"/>
          <w:szCs w:val="13"/>
          <w:highlight w:val="none"/>
          <w:lang w:eastAsia="zh-CN"/>
        </w:rPr>
      </w:pPr>
    </w:p>
    <w:p>
      <w:pPr>
        <w:pStyle w:val="2"/>
        <w:spacing w:before="240" w:after="240" w:line="360" w:lineRule="auto"/>
        <w:ind w:left="0" w:firstLine="482" w:firstLineChars="200"/>
        <w:rPr>
          <w:highlight w:val="none"/>
          <w:lang w:eastAsia="zh-CN"/>
        </w:rPr>
      </w:pPr>
      <w:r>
        <w:rPr>
          <w:rFonts w:hint="eastAsia"/>
          <w:highlight w:val="none"/>
          <w:lang w:eastAsia="zh-CN"/>
        </w:rPr>
        <w:t>重要内容提示：</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（一）股权激励方式：第二类限制性股票</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（二）股份来源：公司向激励对象定向发行公司A股普通股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三）股权激励的权益总数及涉及的标的股票总数：本激励计划授予限制性股票合计185.35万股，占本激励计划公告时公司股本总额的1.95%。其中，首次授予168.50万股，占本激励计划公告时公司股本总额的1.78%，占本激励计划限制性股票授予总额的90.91%；预留授予16.85万股，占本激励计划公告时公司股本总额的0.18%，占本激励计划限制性股票授予总额的9.09%</w:t>
      </w:r>
    </w:p>
    <w:p>
      <w:pPr>
        <w:pStyle w:val="2"/>
        <w:spacing w:before="240" w:after="240" w:line="360" w:lineRule="auto"/>
        <w:ind w:left="0" w:firstLine="482" w:firstLineChars="200"/>
        <w:rPr>
          <w:highlight w:val="none"/>
          <w:lang w:eastAsia="zh-CN"/>
        </w:rPr>
      </w:pPr>
      <w:r>
        <w:rPr>
          <w:rFonts w:hint="eastAsia"/>
          <w:highlight w:val="none"/>
          <w:lang w:eastAsia="zh-CN"/>
        </w:rPr>
        <w:t>一、股权激励计划目的</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为推进长期激励机制的建设，吸引和留住优秀人才，有效结合股东利益、公司利益和员工利益，公司遵循收益与贡献对等的原则，根据《公司法》《证券法》《上市公司股权激励管理办法》《上海证券交易所科创板股票上市规则》《科创板上市公司自律监管指南第4号—股权激励信息披露》等有关法律、法规和规范性文件以及《公司章程》的规定，制定本激励计划。</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截至本激励计划草案公告之日，公司不存在同时实施其他股权激励计划以及其他长期激励机制的情形。</w:t>
      </w:r>
    </w:p>
    <w:p>
      <w:pPr>
        <w:pStyle w:val="2"/>
        <w:spacing w:before="240" w:after="240" w:line="360" w:lineRule="auto"/>
        <w:ind w:left="0" w:firstLine="482" w:firstLineChars="200"/>
        <w:rPr>
          <w:highlight w:val="none"/>
          <w:lang w:eastAsia="zh-CN"/>
        </w:rPr>
      </w:pPr>
      <w:r>
        <w:rPr>
          <w:rFonts w:hint="eastAsia"/>
          <w:highlight w:val="none"/>
          <w:lang w:eastAsia="zh-CN"/>
        </w:rPr>
        <w:t>二、股权激励方式及标的股票来源</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（一）股权激励方式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采用的激励工具为第二类限制性股票。符合本激励计划授予条件的激励对象，在满足相应归属条件后，以授予价格分次获得公司增发的A股普通股，该等股票将在中国证券登记结算有限责任公司上海分公司进行登记。激励对象获授的限制性股票在归属前，不享有公司股东权利，且不得转让、质押、抵押、担保、偿还债务等。</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（二）标的股票来源</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本激励计划涉及的标的股票来源为公司向激励对象定向发行的A股普通股。</w:t>
      </w:r>
    </w:p>
    <w:p>
      <w:pPr>
        <w:pStyle w:val="2"/>
        <w:spacing w:before="240" w:after="240" w:line="360" w:lineRule="auto"/>
        <w:ind w:left="0" w:firstLine="482" w:firstLineChars="200"/>
        <w:rPr>
          <w:highlight w:val="none"/>
          <w:lang w:eastAsia="zh-CN"/>
        </w:rPr>
      </w:pPr>
      <w:r>
        <w:rPr>
          <w:rFonts w:hint="eastAsia"/>
          <w:highlight w:val="none"/>
          <w:lang w:eastAsia="zh-CN"/>
        </w:rPr>
        <w:t>三、股权激励计划拟授予的权益数量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授予限制性股票合计185.35万股，占本激励计划公告时公司股本总额的1.95%。其中，首次授予168.50万股，占本激励计划公告时公司股本总额的1.78%，占本激励计划限制性股票授予总额的90.91%；预留授予16.85万股，占本激励计划公告时公司股本总额的0.18%，占本激励计划限制性股票授予总额的9.09%。</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公司全部在有效期内的股权激励计划涉及的公司股票数量累计未超过本激励计划草案公告时公司股本总额的20.00%；本激励计划的任何一名激励对象通过全部在有效期内的股权激励计划获授的公司股票数量累计未超过公司股本总额的1.00%。</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自本激励计划草案公告之日起至激励对象获授的限制性股票完成归属前，公司发生资本公积转增股本、派发股票红利、股票拆细、配股、缩股等事项的，应当相应调整限制性股票的授予数量。</w:t>
      </w:r>
    </w:p>
    <w:p>
      <w:pPr>
        <w:pStyle w:val="2"/>
        <w:spacing w:before="240" w:after="240" w:line="360" w:lineRule="auto"/>
        <w:ind w:left="0" w:firstLine="482" w:firstLineChars="200"/>
        <w:rPr>
          <w:highlight w:val="none"/>
          <w:lang w:eastAsia="zh-CN"/>
        </w:rPr>
      </w:pPr>
      <w:r>
        <w:rPr>
          <w:rFonts w:hint="eastAsia"/>
          <w:highlight w:val="none"/>
          <w:lang w:eastAsia="zh-CN"/>
        </w:rPr>
        <w:t>四、激励对象的确定依据、范围及各自所获授的权益数量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（一）激励对象的确定依据</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本激励计划的激励对象根据《公司法》《证券法》《上海证券交易所科创板股票上市规则》《科创板上市公司自律监管指南第4号—股权激励信息披露》《公司章程》等相关规定，并结合公司的实际情况而确定。</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2、本激励计划的激励对象包括公司董事、高级管理人员、核心技术人员以及公司（含子公司）其他核心员工，不包括公司独立董事和监事。</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（二）激励对象的范围</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1、本激励计划首次授予的激励对象不超过122人，占公司员工总人数（截至2022年6月30日公司（含子公司）员工总人数为720人）的比例为16.94%。</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2、激励对象应当在公司授予限制性股票时，以及在本激励计划的考核期内于公司（含子公司）任职，并与公司（含子公司）签署劳动合同或者聘用协议。</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（三）激励对象获授的限制性股票分配情况</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本激励计划授予的限制性股票的分配情况如下</w:t>
      </w:r>
      <w:r>
        <w:rPr>
          <w:rFonts w:hint="eastAsia" w:asciiTheme="majorEastAsia" w:hAnsiTheme="majorEastAsia" w:eastAsiaTheme="majorEastAsia"/>
          <w:sz w:val="24"/>
          <w:szCs w:val="24"/>
          <w:highlight w:val="none"/>
          <w:lang w:eastAsia="zh-CN"/>
        </w:rPr>
        <w:t>：</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739"/>
        <w:gridCol w:w="1150"/>
        <w:gridCol w:w="2319"/>
        <w:gridCol w:w="1337"/>
        <w:gridCol w:w="1438"/>
        <w:gridCol w:w="15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1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序号</w:t>
            </w:r>
          </w:p>
        </w:tc>
        <w:tc>
          <w:tcPr>
            <w:tcW w:w="675" w:type="pct"/>
            <w:tcBorders>
              <w:tl2br w:val="nil"/>
              <w:tr2bl w:val="nil"/>
            </w:tcBorders>
            <w:shd w:val="clear" w:color="auto" w:fill="FFFFFF"/>
            <w:vAlign w:val="center"/>
          </w:tcPr>
          <w:p>
            <w:pPr>
              <w:widowControl/>
              <w:jc w:val="center"/>
              <w:rPr>
                <w:rFonts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姓名</w:t>
            </w:r>
          </w:p>
        </w:tc>
        <w:tc>
          <w:tcPr>
            <w:tcW w:w="1361" w:type="pct"/>
            <w:tcBorders>
              <w:tl2br w:val="nil"/>
              <w:tr2bl w:val="nil"/>
            </w:tcBorders>
            <w:shd w:val="clear" w:color="auto" w:fill="FFFFFF"/>
            <w:vAlign w:val="center"/>
          </w:tcPr>
          <w:p>
            <w:pPr>
              <w:widowControl/>
              <w:jc w:val="center"/>
              <w:rPr>
                <w:rFonts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职务</w:t>
            </w:r>
          </w:p>
        </w:tc>
        <w:tc>
          <w:tcPr>
            <w:tcW w:w="785" w:type="pct"/>
            <w:tcBorders>
              <w:tl2br w:val="nil"/>
              <w:tr2bl w:val="nil"/>
            </w:tcBorders>
            <w:shd w:val="clear" w:color="auto" w:fill="FFFFFF"/>
            <w:vAlign w:val="center"/>
          </w:tcPr>
          <w:p>
            <w:pPr>
              <w:widowControl/>
              <w:jc w:val="center"/>
              <w:rPr>
                <w:rFonts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获授数量</w:t>
            </w:r>
          </w:p>
          <w:p>
            <w:pPr>
              <w:widowControl/>
              <w:jc w:val="center"/>
              <w:rPr>
                <w:rFonts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（万股）</w:t>
            </w:r>
          </w:p>
        </w:tc>
        <w:tc>
          <w:tcPr>
            <w:tcW w:w="844" w:type="pct"/>
            <w:tcBorders>
              <w:tl2br w:val="nil"/>
              <w:tr2bl w:val="nil"/>
            </w:tcBorders>
            <w:shd w:val="clear" w:color="auto" w:fill="FFFFFF"/>
            <w:vAlign w:val="center"/>
          </w:tcPr>
          <w:p>
            <w:pPr>
              <w:widowControl/>
              <w:jc w:val="center"/>
              <w:rPr>
                <w:rFonts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占授予总量的比例</w:t>
            </w:r>
          </w:p>
        </w:tc>
        <w:tc>
          <w:tcPr>
            <w:tcW w:w="899" w:type="pct"/>
            <w:tcBorders>
              <w:tl2br w:val="nil"/>
              <w:tr2bl w:val="nil"/>
            </w:tcBorders>
            <w:shd w:val="clear" w:color="auto" w:fill="FFFFFF"/>
            <w:vAlign w:val="center"/>
          </w:tcPr>
          <w:p>
            <w:pPr>
              <w:widowControl/>
              <w:jc w:val="center"/>
              <w:rPr>
                <w:rFonts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占公司总股本的比例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1</w:t>
            </w:r>
          </w:p>
        </w:tc>
        <w:tc>
          <w:tcPr>
            <w:tcW w:w="67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高伟荣</w:t>
            </w:r>
          </w:p>
        </w:tc>
        <w:tc>
          <w:tcPr>
            <w:tcW w:w="1361"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董事长、核心技术人员</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8.00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4.32%</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2</w:t>
            </w:r>
          </w:p>
        </w:tc>
        <w:tc>
          <w:tcPr>
            <w:tcW w:w="67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蒋国民</w:t>
            </w:r>
          </w:p>
        </w:tc>
        <w:tc>
          <w:tcPr>
            <w:tcW w:w="1361"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董事、总经理</w:t>
            </w:r>
          </w:p>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核心技术人员</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8.00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4.32%</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p>
        </w:tc>
        <w:tc>
          <w:tcPr>
            <w:tcW w:w="67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邱江传</w:t>
            </w:r>
          </w:p>
        </w:tc>
        <w:tc>
          <w:tcPr>
            <w:tcW w:w="1361"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董事、董事会秘书</w:t>
            </w:r>
          </w:p>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副总经理</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8.00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4.32%</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4</w:t>
            </w:r>
          </w:p>
        </w:tc>
        <w:tc>
          <w:tcPr>
            <w:tcW w:w="67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王朝晖</w:t>
            </w:r>
          </w:p>
        </w:tc>
        <w:tc>
          <w:tcPr>
            <w:tcW w:w="1361"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副总经理、财务总监</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8.00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4.32%</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5</w:t>
            </w:r>
          </w:p>
        </w:tc>
        <w:tc>
          <w:tcPr>
            <w:tcW w:w="67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高亮云</w:t>
            </w:r>
          </w:p>
        </w:tc>
        <w:tc>
          <w:tcPr>
            <w:tcW w:w="1361"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董事、副总经理</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8.00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4.32%</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6</w:t>
            </w:r>
          </w:p>
        </w:tc>
        <w:tc>
          <w:tcPr>
            <w:tcW w:w="67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黄剑波</w:t>
            </w:r>
          </w:p>
        </w:tc>
        <w:tc>
          <w:tcPr>
            <w:tcW w:w="1361"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副总经理</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8.00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4.32%</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7</w:t>
            </w:r>
          </w:p>
        </w:tc>
        <w:tc>
          <w:tcPr>
            <w:tcW w:w="67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闫虎祥</w:t>
            </w:r>
          </w:p>
        </w:tc>
        <w:tc>
          <w:tcPr>
            <w:tcW w:w="1361"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核心技术人员</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3.20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1.73%</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8</w:t>
            </w:r>
          </w:p>
        </w:tc>
        <w:tc>
          <w:tcPr>
            <w:tcW w:w="67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刘永丰</w:t>
            </w:r>
          </w:p>
        </w:tc>
        <w:tc>
          <w:tcPr>
            <w:tcW w:w="1361"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核心技术人员</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3.20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1.73%</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9</w:t>
            </w:r>
          </w:p>
        </w:tc>
        <w:tc>
          <w:tcPr>
            <w:tcW w:w="67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孟云</w:t>
            </w:r>
          </w:p>
        </w:tc>
        <w:tc>
          <w:tcPr>
            <w:tcW w:w="1361"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核心技术人员</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1.08%</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10</w:t>
            </w:r>
          </w:p>
        </w:tc>
        <w:tc>
          <w:tcPr>
            <w:tcW w:w="67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高时会</w:t>
            </w:r>
          </w:p>
        </w:tc>
        <w:tc>
          <w:tcPr>
            <w:tcW w:w="1361"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项目管理部副经理</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0.54%</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0" w:hRule="atLeast"/>
          <w:jc w:val="center"/>
        </w:trPr>
        <w:tc>
          <w:tcPr>
            <w:tcW w:w="434" w:type="pct"/>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11</w:t>
            </w:r>
          </w:p>
        </w:tc>
        <w:tc>
          <w:tcPr>
            <w:tcW w:w="2036" w:type="pct"/>
            <w:gridSpan w:val="2"/>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公司（含子公司）其他核心员工</w:t>
            </w:r>
          </w:p>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（112人）</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111.10</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59.94%</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2470" w:type="pct"/>
            <w:gridSpan w:val="3"/>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预留</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16.85</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9.09%</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70" w:hRule="atLeast"/>
          <w:jc w:val="center"/>
        </w:trPr>
        <w:tc>
          <w:tcPr>
            <w:tcW w:w="2470" w:type="pct"/>
            <w:gridSpan w:val="3"/>
            <w:tcBorders>
              <w:tl2br w:val="nil"/>
              <w:tr2bl w:val="nil"/>
            </w:tcBorders>
            <w:shd w:val="clear" w:color="auto" w:fill="FFFFFF"/>
            <w:vAlign w:val="center"/>
          </w:tcPr>
          <w:p>
            <w:pPr>
              <w:widowControl/>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合计</w:t>
            </w:r>
          </w:p>
        </w:tc>
        <w:tc>
          <w:tcPr>
            <w:tcW w:w="785"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185.35</w:t>
            </w:r>
          </w:p>
        </w:tc>
        <w:tc>
          <w:tcPr>
            <w:tcW w:w="844"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100.00%</w:t>
            </w:r>
          </w:p>
        </w:tc>
        <w:tc>
          <w:tcPr>
            <w:tcW w:w="899" w:type="pct"/>
            <w:tcBorders>
              <w:tl2br w:val="nil"/>
              <w:tr2bl w:val="nil"/>
            </w:tcBorders>
            <w:shd w:val="clear" w:color="auto" w:fill="FFFFFF"/>
            <w:vAlign w:val="center"/>
          </w:tcPr>
          <w:p>
            <w:pPr>
              <w:adjustRightInd w:val="0"/>
              <w:spacing w:line="312" w:lineRule="atLeast"/>
              <w:jc w:val="center"/>
              <w:textAlignment w:val="baseline"/>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1.95%</w:t>
            </w:r>
          </w:p>
        </w:tc>
      </w:tr>
    </w:tbl>
    <w:p>
      <w:pPr>
        <w:snapToGrid w:val="0"/>
        <w:spacing w:line="360" w:lineRule="auto"/>
        <w:jc w:val="both"/>
        <w:rPr>
          <w:rFonts w:ascii="宋体" w:hAnsi="宋体" w:eastAsia="宋体" w:cs="宋体"/>
          <w:b/>
          <w:bCs/>
          <w:color w:val="000000"/>
          <w:kern w:val="44"/>
          <w:sz w:val="28"/>
          <w:szCs w:val="28"/>
          <w:highlight w:val="none"/>
          <w:lang w:eastAsia="zh-CN"/>
        </w:rPr>
      </w:pPr>
      <w:r>
        <w:rPr>
          <w:rFonts w:hint="eastAsia" w:ascii="宋体" w:hAnsi="宋体" w:eastAsia="宋体" w:cs="宋体"/>
          <w:kern w:val="2"/>
          <w:sz w:val="18"/>
          <w:szCs w:val="18"/>
          <w:highlight w:val="none"/>
          <w:lang w:eastAsia="zh-CN"/>
        </w:rPr>
        <w:t>注：以上合计数据与各明细数据相加之和在尾数上如有差异，系四舍五入所致。</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（四）激励对象的核实</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1、本激励计划经董事会审议通过后，公司内部公示激励对象的姓名和职务，公示期不少于10天。</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2、监事会在充分听取公示意见的基础之上，核查激励对象相关信息，并于股东大会审议本激励计划前5日披露公示情况说明及核查意见。激励对象名单出现调整的，应当经监事会核实。</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（五）在本激励计划实施过程中，如激励对象发生《上市公司股权激励管理办法》及本激励计划规定的不得成为激励对象情形的，该激励对象已获授但尚未归属的限制性股票不得归属，并作废失效。</w:t>
      </w:r>
    </w:p>
    <w:p>
      <w:pPr>
        <w:pStyle w:val="2"/>
        <w:spacing w:before="240" w:after="240" w:line="360" w:lineRule="auto"/>
        <w:ind w:left="0" w:firstLine="482" w:firstLineChars="200"/>
        <w:rPr>
          <w:highlight w:val="none"/>
          <w:lang w:eastAsia="zh-CN"/>
        </w:rPr>
      </w:pPr>
      <w:r>
        <w:rPr>
          <w:rFonts w:hint="eastAsia"/>
          <w:highlight w:val="none"/>
          <w:lang w:eastAsia="zh-CN"/>
        </w:rPr>
        <w:t>五、本次激励计划的相关时间安排</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（一）本激励计划的有效期</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本激励计划的有效期为自限制性股票首次授予之日起至激励对象获授的限制性股票全部归属或作废失效之日止，最长不超过60个月。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（二）本激励计划的相关日期及期限</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1、授予日</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自股东大会审议通过本激励计划之日起60日内满足授予条件的，公司召开董事会向激励对象首次授予限制性股票并完成公告，授予日必须为交易日；公司未能在60日内完成上述工作的，应当及时披露未完成的原因，并终止实施本激励计划，未授予的限制性股票作废失效。预留授予的限制性股票须在本激励计划经股东大会审议通过后的12个月内授出。</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2、归属期限及归属安排</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限制性股票满足相应归属条件后可按照本激励计划的归属安排进行归属，应遵守中国证监会和证券交易所的相关规定，归属日必须为交易日，且不得为下列区间日（相关规定发生变化的，自动适用变化后的规定）：</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（1）公司年度报告、半年度报告公告前三十日内，因特殊原因推迟公告日期的，自原预约公告日前三十日起算；</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（2）公司季度报告、业绩预告、业绩快报公告前十日内；</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（3）自可能对公司股票及其衍生品种交易价格产生较大影响的重大事件发生之日或者进入决策程序之日至依法披露之日；</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（4）中国证监会及证券交易所规定的其他期间。</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注：上述“重大事件”为公司依据《上海证券交易所科创板股票上市规则》的规定应当披露的交易或其他重大事项。</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本激励计划首次授予的限制性股票的归属安排如下：</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2150"/>
        <w:gridCol w:w="4829"/>
        <w:gridCol w:w="15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261" w:type="pct"/>
            <w:tcBorders>
              <w:left w:val="single" w:color="000000" w:sz="12" w:space="0"/>
              <w:bottom w:val="single" w:color="000000" w:sz="6" w:space="0"/>
              <w:right w:val="single" w:color="000000" w:sz="6" w:space="0"/>
            </w:tcBorders>
            <w:shd w:val="clear" w:color="auto" w:fill="auto"/>
            <w:vAlign w:val="center"/>
          </w:tcPr>
          <w:p>
            <w:pPr>
              <w:autoSpaceDE w:val="0"/>
              <w:autoSpaceDN w:val="0"/>
              <w:adjustRightInd w:val="0"/>
              <w:spacing w:line="276" w:lineRule="auto"/>
              <w:jc w:val="center"/>
              <w:rPr>
                <w:rFonts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归属安排</w:t>
            </w:r>
          </w:p>
        </w:tc>
        <w:tc>
          <w:tcPr>
            <w:tcW w:w="2833" w:type="pct"/>
            <w:tcBorders>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276" w:lineRule="auto"/>
              <w:jc w:val="center"/>
              <w:rPr>
                <w:rFonts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归属期间</w:t>
            </w:r>
          </w:p>
        </w:tc>
        <w:tc>
          <w:tcPr>
            <w:tcW w:w="904" w:type="pct"/>
            <w:tcBorders>
              <w:left w:val="single" w:color="000000" w:sz="6" w:space="0"/>
              <w:bottom w:val="single" w:color="000000" w:sz="6" w:space="0"/>
              <w:right w:val="single" w:color="000000" w:sz="12" w:space="0"/>
            </w:tcBorders>
            <w:shd w:val="clear" w:color="auto" w:fill="auto"/>
            <w:vAlign w:val="center"/>
          </w:tcPr>
          <w:p>
            <w:pPr>
              <w:autoSpaceDE w:val="0"/>
              <w:autoSpaceDN w:val="0"/>
              <w:adjustRightInd w:val="0"/>
              <w:spacing w:line="276" w:lineRule="auto"/>
              <w:jc w:val="center"/>
              <w:rPr>
                <w:rFonts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归属比例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1261" w:type="pct"/>
            <w:tcBorders>
              <w:top w:val="single" w:color="000000" w:sz="6" w:space="0"/>
              <w:left w:val="single" w:color="000000" w:sz="12" w:space="0"/>
              <w:bottom w:val="single" w:color="000000" w:sz="6" w:space="0"/>
              <w:right w:val="single" w:color="000000" w:sz="6" w:space="0"/>
            </w:tcBorders>
            <w:shd w:val="clear" w:color="auto" w:fill="auto"/>
            <w:vAlign w:val="center"/>
          </w:tcPr>
          <w:p>
            <w:pPr>
              <w:autoSpaceDE w:val="0"/>
              <w:autoSpaceDN w:val="0"/>
              <w:adjustRightInd w:val="0"/>
              <w:spacing w:line="276" w:lineRule="auto"/>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第一个归属期</w:t>
            </w:r>
          </w:p>
        </w:tc>
        <w:tc>
          <w:tcPr>
            <w:tcW w:w="2833" w:type="pct"/>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276" w:lineRule="auto"/>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自首次授予之日起12个月后的首个交易日起至首次授予之日起24个月内的最后一个交易日当日止</w:t>
            </w:r>
          </w:p>
        </w:tc>
        <w:tc>
          <w:tcPr>
            <w:tcW w:w="904" w:type="pct"/>
            <w:tcBorders>
              <w:top w:val="single" w:color="000000" w:sz="6" w:space="0"/>
              <w:left w:val="single" w:color="000000" w:sz="6" w:space="0"/>
              <w:bottom w:val="single" w:color="000000" w:sz="6" w:space="0"/>
              <w:right w:val="single" w:color="000000" w:sz="12" w:space="0"/>
            </w:tcBorders>
            <w:shd w:val="clear" w:color="auto" w:fill="auto"/>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30</w:t>
            </w:r>
            <w:r>
              <w:rPr>
                <w:rFonts w:hint="eastAsia" w:ascii="宋体" w:hAnsi="宋体" w:eastAsia="宋体" w:cs="宋体"/>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1261" w:type="pct"/>
            <w:tcBorders>
              <w:top w:val="single" w:color="000000" w:sz="6" w:space="0"/>
              <w:left w:val="single" w:color="000000" w:sz="12" w:space="0"/>
              <w:bottom w:val="single" w:color="000000" w:sz="6" w:space="0"/>
              <w:right w:val="single" w:color="000000" w:sz="6" w:space="0"/>
            </w:tcBorders>
            <w:shd w:val="clear" w:color="auto" w:fill="auto"/>
            <w:vAlign w:val="center"/>
          </w:tcPr>
          <w:p>
            <w:pPr>
              <w:autoSpaceDE w:val="0"/>
              <w:autoSpaceDN w:val="0"/>
              <w:adjustRightInd w:val="0"/>
              <w:spacing w:line="276" w:lineRule="auto"/>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第二个归属期</w:t>
            </w:r>
          </w:p>
        </w:tc>
        <w:tc>
          <w:tcPr>
            <w:tcW w:w="2833" w:type="pct"/>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276" w:lineRule="auto"/>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自首次授予之日起24个月后的首个交易日起至首次授予之日起36个月内的最后一个交易日当日止</w:t>
            </w:r>
          </w:p>
        </w:tc>
        <w:tc>
          <w:tcPr>
            <w:tcW w:w="904" w:type="pct"/>
            <w:tcBorders>
              <w:top w:val="single" w:color="000000" w:sz="6" w:space="0"/>
              <w:left w:val="single" w:color="000000" w:sz="6" w:space="0"/>
              <w:bottom w:val="single" w:color="000000" w:sz="6" w:space="0"/>
              <w:right w:val="single" w:color="000000" w:sz="12" w:space="0"/>
            </w:tcBorders>
            <w:shd w:val="clear" w:color="auto" w:fill="auto"/>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30</w:t>
            </w:r>
            <w:r>
              <w:rPr>
                <w:rFonts w:hint="eastAsia" w:ascii="宋体" w:hAnsi="宋体" w:eastAsia="宋体" w:cs="宋体"/>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1261" w:type="pct"/>
            <w:tcBorders>
              <w:top w:val="single" w:color="000000" w:sz="6" w:space="0"/>
              <w:left w:val="single" w:color="000000" w:sz="12" w:space="0"/>
              <w:bottom w:val="single" w:color="000000" w:sz="12" w:space="0"/>
              <w:right w:val="single" w:color="000000" w:sz="6" w:space="0"/>
            </w:tcBorders>
            <w:shd w:val="clear" w:color="auto" w:fill="auto"/>
            <w:vAlign w:val="center"/>
          </w:tcPr>
          <w:p>
            <w:pPr>
              <w:autoSpaceDE w:val="0"/>
              <w:autoSpaceDN w:val="0"/>
              <w:adjustRightInd w:val="0"/>
              <w:spacing w:line="276" w:lineRule="auto"/>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第三个归属期</w:t>
            </w:r>
          </w:p>
        </w:tc>
        <w:tc>
          <w:tcPr>
            <w:tcW w:w="2833" w:type="pct"/>
            <w:tcBorders>
              <w:top w:val="single" w:color="000000" w:sz="6" w:space="0"/>
              <w:left w:val="single" w:color="000000" w:sz="6" w:space="0"/>
              <w:bottom w:val="single" w:color="000000" w:sz="12" w:space="0"/>
              <w:right w:val="single" w:color="000000" w:sz="6" w:space="0"/>
            </w:tcBorders>
            <w:shd w:val="clear" w:color="auto" w:fill="auto"/>
            <w:vAlign w:val="center"/>
          </w:tcPr>
          <w:p>
            <w:pPr>
              <w:autoSpaceDE w:val="0"/>
              <w:autoSpaceDN w:val="0"/>
              <w:adjustRightInd w:val="0"/>
              <w:spacing w:line="276" w:lineRule="auto"/>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自首次授予之日起36个月后的首个交易日起至首次授予之日起48个月内的最后一个交易日当日止</w:t>
            </w:r>
          </w:p>
        </w:tc>
        <w:tc>
          <w:tcPr>
            <w:tcW w:w="904" w:type="pct"/>
            <w:tcBorders>
              <w:top w:val="single" w:color="000000" w:sz="6" w:space="0"/>
              <w:left w:val="single" w:color="000000" w:sz="6" w:space="0"/>
              <w:bottom w:val="single" w:color="000000" w:sz="12" w:space="0"/>
              <w:right w:val="single" w:color="000000" w:sz="12" w:space="0"/>
            </w:tcBorders>
            <w:shd w:val="clear" w:color="auto" w:fill="auto"/>
            <w:vAlign w:val="center"/>
          </w:tcPr>
          <w:p>
            <w:pPr>
              <w:autoSpaceDE w:val="0"/>
              <w:autoSpaceDN w:val="0"/>
              <w:adjustRightInd w:val="0"/>
              <w:spacing w:line="276" w:lineRule="auto"/>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40%</w:t>
            </w:r>
          </w:p>
        </w:tc>
      </w:tr>
    </w:tbl>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本激励计划预留授予的限制性股票于2023年第三季度报告披露之前授出的，归属安排如下：</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2150"/>
        <w:gridCol w:w="4829"/>
        <w:gridCol w:w="15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261" w:type="pct"/>
            <w:tcBorders>
              <w:left w:val="single" w:color="000000" w:sz="12" w:space="0"/>
              <w:bottom w:val="single" w:color="000000" w:sz="6" w:space="0"/>
              <w:right w:val="single" w:color="000000" w:sz="6" w:space="0"/>
            </w:tcBorders>
            <w:shd w:val="clear" w:color="auto" w:fill="auto"/>
            <w:vAlign w:val="center"/>
          </w:tcPr>
          <w:p>
            <w:pPr>
              <w:autoSpaceDE w:val="0"/>
              <w:autoSpaceDN w:val="0"/>
              <w:adjustRightInd w:val="0"/>
              <w:spacing w:line="276" w:lineRule="auto"/>
              <w:jc w:val="center"/>
              <w:rPr>
                <w:rFonts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归属安排</w:t>
            </w:r>
          </w:p>
        </w:tc>
        <w:tc>
          <w:tcPr>
            <w:tcW w:w="2833" w:type="pct"/>
            <w:tcBorders>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276" w:lineRule="auto"/>
              <w:jc w:val="center"/>
              <w:rPr>
                <w:rFonts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归属期间</w:t>
            </w:r>
          </w:p>
        </w:tc>
        <w:tc>
          <w:tcPr>
            <w:tcW w:w="904" w:type="pct"/>
            <w:tcBorders>
              <w:left w:val="single" w:color="000000" w:sz="6" w:space="0"/>
              <w:bottom w:val="single" w:color="000000" w:sz="6" w:space="0"/>
              <w:right w:val="single" w:color="000000" w:sz="12" w:space="0"/>
            </w:tcBorders>
            <w:shd w:val="clear" w:color="auto" w:fill="auto"/>
            <w:vAlign w:val="center"/>
          </w:tcPr>
          <w:p>
            <w:pPr>
              <w:autoSpaceDE w:val="0"/>
              <w:autoSpaceDN w:val="0"/>
              <w:adjustRightInd w:val="0"/>
              <w:spacing w:line="276" w:lineRule="auto"/>
              <w:jc w:val="center"/>
              <w:rPr>
                <w:rFonts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归属比例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1261" w:type="pct"/>
            <w:tcBorders>
              <w:top w:val="single" w:color="000000" w:sz="6" w:space="0"/>
              <w:left w:val="single" w:color="000000" w:sz="12" w:space="0"/>
              <w:bottom w:val="single" w:color="000000" w:sz="6" w:space="0"/>
              <w:right w:val="single" w:color="000000" w:sz="6" w:space="0"/>
            </w:tcBorders>
            <w:shd w:val="clear" w:color="auto" w:fill="auto"/>
            <w:vAlign w:val="center"/>
          </w:tcPr>
          <w:p>
            <w:pPr>
              <w:autoSpaceDE w:val="0"/>
              <w:autoSpaceDN w:val="0"/>
              <w:adjustRightInd w:val="0"/>
              <w:spacing w:line="276" w:lineRule="auto"/>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第一个归属期</w:t>
            </w:r>
          </w:p>
        </w:tc>
        <w:tc>
          <w:tcPr>
            <w:tcW w:w="2833" w:type="pct"/>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276" w:lineRule="auto"/>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自预留授予之日起12个月后的首个交易日起至预留授予之日起24个月内的最后一个交易日当日止</w:t>
            </w:r>
          </w:p>
        </w:tc>
        <w:tc>
          <w:tcPr>
            <w:tcW w:w="904" w:type="pct"/>
            <w:tcBorders>
              <w:top w:val="single" w:color="000000" w:sz="6" w:space="0"/>
              <w:left w:val="single" w:color="000000" w:sz="6" w:space="0"/>
              <w:bottom w:val="single" w:color="000000" w:sz="6" w:space="0"/>
              <w:right w:val="single" w:color="000000" w:sz="12" w:space="0"/>
            </w:tcBorders>
            <w:shd w:val="clear" w:color="auto" w:fill="auto"/>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30</w:t>
            </w:r>
            <w:r>
              <w:rPr>
                <w:rFonts w:hint="eastAsia" w:ascii="宋体" w:hAnsi="宋体" w:eastAsia="宋体" w:cs="宋体"/>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1261" w:type="pct"/>
            <w:tcBorders>
              <w:top w:val="single" w:color="000000" w:sz="6" w:space="0"/>
              <w:left w:val="single" w:color="000000" w:sz="12" w:space="0"/>
              <w:bottom w:val="single" w:color="000000" w:sz="6" w:space="0"/>
              <w:right w:val="single" w:color="000000" w:sz="6" w:space="0"/>
            </w:tcBorders>
            <w:shd w:val="clear" w:color="auto" w:fill="auto"/>
            <w:vAlign w:val="center"/>
          </w:tcPr>
          <w:p>
            <w:pPr>
              <w:autoSpaceDE w:val="0"/>
              <w:autoSpaceDN w:val="0"/>
              <w:adjustRightInd w:val="0"/>
              <w:spacing w:line="276" w:lineRule="auto"/>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第二个归属期</w:t>
            </w:r>
          </w:p>
        </w:tc>
        <w:tc>
          <w:tcPr>
            <w:tcW w:w="2833" w:type="pct"/>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276" w:lineRule="auto"/>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自预留授予之日起24个月后的首个交易日起至预留授予之日起36个月内的最后一个交易日当日止</w:t>
            </w:r>
          </w:p>
        </w:tc>
        <w:tc>
          <w:tcPr>
            <w:tcW w:w="904" w:type="pct"/>
            <w:tcBorders>
              <w:top w:val="single" w:color="000000" w:sz="6" w:space="0"/>
              <w:left w:val="single" w:color="000000" w:sz="6" w:space="0"/>
              <w:bottom w:val="single" w:color="000000" w:sz="6" w:space="0"/>
              <w:right w:val="single" w:color="000000" w:sz="12" w:space="0"/>
            </w:tcBorders>
            <w:shd w:val="clear" w:color="auto" w:fill="auto"/>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30</w:t>
            </w:r>
            <w:r>
              <w:rPr>
                <w:rFonts w:hint="eastAsia" w:ascii="宋体" w:hAnsi="宋体" w:eastAsia="宋体" w:cs="宋体"/>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1261" w:type="pct"/>
            <w:tcBorders>
              <w:top w:val="single" w:color="000000" w:sz="6" w:space="0"/>
              <w:left w:val="single" w:color="000000" w:sz="12" w:space="0"/>
              <w:bottom w:val="single" w:color="000000" w:sz="12" w:space="0"/>
              <w:right w:val="single" w:color="000000" w:sz="6" w:space="0"/>
            </w:tcBorders>
            <w:shd w:val="clear" w:color="auto" w:fill="auto"/>
            <w:vAlign w:val="center"/>
          </w:tcPr>
          <w:p>
            <w:pPr>
              <w:autoSpaceDE w:val="0"/>
              <w:autoSpaceDN w:val="0"/>
              <w:adjustRightInd w:val="0"/>
              <w:spacing w:line="276" w:lineRule="auto"/>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第三个归属期</w:t>
            </w:r>
          </w:p>
        </w:tc>
        <w:tc>
          <w:tcPr>
            <w:tcW w:w="2833" w:type="pct"/>
            <w:tcBorders>
              <w:top w:val="single" w:color="000000" w:sz="6" w:space="0"/>
              <w:left w:val="single" w:color="000000" w:sz="6" w:space="0"/>
              <w:bottom w:val="single" w:color="000000" w:sz="12" w:space="0"/>
              <w:right w:val="single" w:color="000000" w:sz="6" w:space="0"/>
            </w:tcBorders>
            <w:shd w:val="clear" w:color="auto" w:fill="auto"/>
            <w:vAlign w:val="center"/>
          </w:tcPr>
          <w:p>
            <w:pPr>
              <w:autoSpaceDE w:val="0"/>
              <w:autoSpaceDN w:val="0"/>
              <w:adjustRightInd w:val="0"/>
              <w:spacing w:line="276" w:lineRule="auto"/>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自预留授予之日起36个月后的首个交易日起至预留授予之日起48个月内的最后一个交易日当日止</w:t>
            </w:r>
          </w:p>
        </w:tc>
        <w:tc>
          <w:tcPr>
            <w:tcW w:w="904" w:type="pct"/>
            <w:tcBorders>
              <w:top w:val="single" w:color="000000" w:sz="6" w:space="0"/>
              <w:left w:val="single" w:color="000000" w:sz="6" w:space="0"/>
              <w:bottom w:val="single" w:color="000000" w:sz="12" w:space="0"/>
              <w:right w:val="single" w:color="000000" w:sz="12" w:space="0"/>
            </w:tcBorders>
            <w:shd w:val="clear" w:color="auto" w:fill="auto"/>
            <w:vAlign w:val="center"/>
          </w:tcPr>
          <w:p>
            <w:pPr>
              <w:autoSpaceDE w:val="0"/>
              <w:autoSpaceDN w:val="0"/>
              <w:adjustRightInd w:val="0"/>
              <w:spacing w:line="276" w:lineRule="auto"/>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40%</w:t>
            </w:r>
          </w:p>
        </w:tc>
      </w:tr>
    </w:tbl>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本激励计划预留授予的限制性股票于2023年第三季度报告披露之后授出的，归属安排如下：</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150"/>
        <w:gridCol w:w="4829"/>
        <w:gridCol w:w="154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61" w:type="pct"/>
            <w:tcBorders>
              <w:tl2br w:val="nil"/>
              <w:tr2bl w:val="nil"/>
            </w:tcBorders>
            <w:shd w:val="clear" w:color="auto" w:fill="auto"/>
            <w:vAlign w:val="center"/>
          </w:tcPr>
          <w:p>
            <w:pPr>
              <w:autoSpaceDE w:val="0"/>
              <w:autoSpaceDN w:val="0"/>
              <w:adjustRightInd w:val="0"/>
              <w:spacing w:line="276" w:lineRule="auto"/>
              <w:jc w:val="center"/>
              <w:rPr>
                <w:rFonts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归属安排</w:t>
            </w:r>
          </w:p>
        </w:tc>
        <w:tc>
          <w:tcPr>
            <w:tcW w:w="2833" w:type="pct"/>
            <w:tcBorders>
              <w:tl2br w:val="nil"/>
              <w:tr2bl w:val="nil"/>
            </w:tcBorders>
            <w:shd w:val="clear" w:color="auto" w:fill="auto"/>
            <w:vAlign w:val="center"/>
          </w:tcPr>
          <w:p>
            <w:pPr>
              <w:autoSpaceDE w:val="0"/>
              <w:autoSpaceDN w:val="0"/>
              <w:adjustRightInd w:val="0"/>
              <w:spacing w:line="276" w:lineRule="auto"/>
              <w:jc w:val="center"/>
              <w:rPr>
                <w:rFonts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归属期间</w:t>
            </w:r>
          </w:p>
        </w:tc>
        <w:tc>
          <w:tcPr>
            <w:tcW w:w="904" w:type="pct"/>
            <w:tcBorders>
              <w:tl2br w:val="nil"/>
              <w:tr2bl w:val="nil"/>
            </w:tcBorders>
            <w:shd w:val="clear" w:color="auto" w:fill="auto"/>
            <w:vAlign w:val="center"/>
          </w:tcPr>
          <w:p>
            <w:pPr>
              <w:autoSpaceDE w:val="0"/>
              <w:autoSpaceDN w:val="0"/>
              <w:adjustRightInd w:val="0"/>
              <w:spacing w:line="276" w:lineRule="auto"/>
              <w:jc w:val="center"/>
              <w:rPr>
                <w:rFonts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归属比例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61" w:type="pct"/>
            <w:tcBorders>
              <w:tl2br w:val="nil"/>
              <w:tr2bl w:val="nil"/>
            </w:tcBorders>
            <w:shd w:val="clear" w:color="auto" w:fill="auto"/>
            <w:vAlign w:val="center"/>
          </w:tcPr>
          <w:p>
            <w:pPr>
              <w:autoSpaceDE w:val="0"/>
              <w:autoSpaceDN w:val="0"/>
              <w:adjustRightInd w:val="0"/>
              <w:spacing w:line="276" w:lineRule="auto"/>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第一个归属期</w:t>
            </w:r>
          </w:p>
        </w:tc>
        <w:tc>
          <w:tcPr>
            <w:tcW w:w="2833" w:type="pct"/>
            <w:tcBorders>
              <w:tl2br w:val="nil"/>
              <w:tr2bl w:val="nil"/>
            </w:tcBorders>
            <w:shd w:val="clear" w:color="auto" w:fill="auto"/>
            <w:vAlign w:val="center"/>
          </w:tcPr>
          <w:p>
            <w:pPr>
              <w:autoSpaceDE w:val="0"/>
              <w:autoSpaceDN w:val="0"/>
              <w:adjustRightInd w:val="0"/>
              <w:spacing w:line="276" w:lineRule="auto"/>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自预留授予之日起12个月后的首个交易日起至预留授予之日起24个月内的最后一个交易日当日止</w:t>
            </w:r>
          </w:p>
        </w:tc>
        <w:tc>
          <w:tcPr>
            <w:tcW w:w="904" w:type="pct"/>
            <w:tcBorders>
              <w:tl2br w:val="nil"/>
              <w:tr2bl w:val="nil"/>
            </w:tcBorders>
            <w:shd w:val="clear" w:color="auto" w:fill="auto"/>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50</w:t>
            </w:r>
            <w:r>
              <w:rPr>
                <w:rFonts w:hint="eastAsia" w:ascii="宋体" w:hAnsi="宋体" w:eastAsia="宋体" w:cs="宋体"/>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61" w:type="pct"/>
            <w:tcBorders>
              <w:tl2br w:val="nil"/>
              <w:tr2bl w:val="nil"/>
            </w:tcBorders>
            <w:shd w:val="clear" w:color="auto" w:fill="auto"/>
            <w:vAlign w:val="center"/>
          </w:tcPr>
          <w:p>
            <w:pPr>
              <w:autoSpaceDE w:val="0"/>
              <w:autoSpaceDN w:val="0"/>
              <w:adjustRightInd w:val="0"/>
              <w:spacing w:line="276" w:lineRule="auto"/>
              <w:jc w:val="center"/>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第二个归属期</w:t>
            </w:r>
          </w:p>
        </w:tc>
        <w:tc>
          <w:tcPr>
            <w:tcW w:w="2833" w:type="pct"/>
            <w:tcBorders>
              <w:tl2br w:val="nil"/>
              <w:tr2bl w:val="nil"/>
            </w:tcBorders>
            <w:shd w:val="clear" w:color="auto" w:fill="auto"/>
            <w:vAlign w:val="center"/>
          </w:tcPr>
          <w:p>
            <w:pPr>
              <w:autoSpaceDE w:val="0"/>
              <w:autoSpaceDN w:val="0"/>
              <w:adjustRightInd w:val="0"/>
              <w:spacing w:line="276" w:lineRule="auto"/>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自预留授予之日起24个月后的首个交易日起至预留授予之日起36个月内的最后一个交易日当日止</w:t>
            </w:r>
          </w:p>
        </w:tc>
        <w:tc>
          <w:tcPr>
            <w:tcW w:w="904" w:type="pct"/>
            <w:tcBorders>
              <w:tl2br w:val="nil"/>
              <w:tr2bl w:val="nil"/>
            </w:tcBorders>
            <w:shd w:val="clear" w:color="auto" w:fill="auto"/>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50</w:t>
            </w:r>
            <w:r>
              <w:rPr>
                <w:rFonts w:hint="eastAsia" w:ascii="宋体" w:hAnsi="宋体" w:eastAsia="宋体" w:cs="宋体"/>
                <w:sz w:val="21"/>
                <w:szCs w:val="21"/>
                <w:highlight w:val="none"/>
                <w:lang w:eastAsia="zh-CN"/>
              </w:rPr>
              <w:t>%</w:t>
            </w:r>
          </w:p>
        </w:tc>
      </w:tr>
    </w:tbl>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激励对象已获授但尚未归属的限制性股票由于资本公积转增股本、派发股票红利、股票拆细、配股而增加的权益同时受归属条件约束，且归属前不得转让、质押、抵押、担保、偿还债务等。届时，若相应部分的限制性股票不得归属的，则因前述原因获得的权益亦不得归属。</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归属期内，激励对象获授的限制性股票满足归属条件的，公司可按规定办理归属事项；未满足归属条件的限制性股票或者满足归属条件但激励对象未申请归属的限制性股票不得归属，并作废失效。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3、本激励计划的限售规定</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本激励计划授予的限制性股票归属之后，不再另行设置限售安排，依据《公司法》《证券法》《公司章程》等有关规定执行，具体如下：</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（1）激励对象为公司董事和高级管理人员的，其在任职期间每年转让的股份不得超过其所持有公司股份总数的25%；在离职后半年内，不得转让其所持有的公司股份。</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（2）激励对象为公司董事和高级管理人员及其配偶、父母、子女的，将其持有的公司股份在买入后6个月内卖出，或者在卖出后6个月内又买入，由此所得收益归公司所有，董事会将收回其所得收益。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激励对象为公司董事和高级管理人员的，减持公司股份还需遵守《上市公司股东、董监高减持股份的若干规定》《上海证券交易所上市公司股东及董事、监事、高级管理人员减持股份实施细则》等有关规定。</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激励对象为公司董事和高级管理人员的，在本激励计划的有效期内，如果《公司法》《证券法》《公司章程》等对公司董事和高级管理人员转让公司股份的有关规定发生变化，则其转让公司股份应当在转让时符合修改后的《公司法》《证券法》《公司章程》等有关规定。</w:t>
      </w:r>
    </w:p>
    <w:p>
      <w:pPr>
        <w:pStyle w:val="2"/>
        <w:spacing w:before="240" w:after="240" w:line="360" w:lineRule="auto"/>
        <w:ind w:left="0" w:firstLine="482" w:firstLineChars="200"/>
        <w:rPr>
          <w:highlight w:val="none"/>
          <w:lang w:eastAsia="zh-CN"/>
        </w:rPr>
      </w:pPr>
      <w:r>
        <w:rPr>
          <w:rFonts w:hint="eastAsia"/>
          <w:highlight w:val="none"/>
          <w:lang w:eastAsia="zh-CN"/>
        </w:rPr>
        <w:t>六、限制性股票的授予价格及确定方法</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（一）</w:t>
      </w:r>
      <w:r>
        <w:rPr>
          <w:rFonts w:hint="eastAsia" w:asciiTheme="majorEastAsia" w:hAnsiTheme="majorEastAsia" w:eastAsiaTheme="majorEastAsia"/>
          <w:sz w:val="24"/>
          <w:szCs w:val="24"/>
          <w:highlight w:val="none"/>
          <w:lang w:eastAsia="zh-CN"/>
        </w:rPr>
        <w:t>限制性股票的授予价格</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本激励计划首次及预留授予的限制性股票的授予价格为每股13.93元。即，满足归属条件之后，激励对象可以每股13.93元的价格购买公司定向增发的A股普通股。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（二）限制性股票授予价格的确定方法</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本激励计划首次及预留授予的限制性股票的授予价格为13.93元/股：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1、本激励计划草案公告前1个交易日公司股票交易均价（前1个交易日公司股票交易总额/前1个交易日公司股票交易总量）为每股33.47元，本次授予价格占本激励计划草案公告前1个交易日公司股票交易均价的41.62%；</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本激励计划草案公告前20个交易日公司股票交易均价（前20个交易日公司股票交易总额/前20个交易日公司股票交易总量）为每股31.49元，本次授予价格占本激励计划草案公告前20个交易日公司股票交易均价的44.24%；</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本激励计划草案公告前60个交易日公司股票交易均价（前60个交易日公司股票交易总额/前60个交易日公司股票交易总量）为每股27.85元，本次授予价格占本激励计划草案公告前60个交易日公司股票交易均价的50.02%；</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4、截至本激励计划草案公告之日，公司股票上市未满120个交易日。</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（三）定价方式的合理性说明</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本激励计划的定价方式以促进公司发展、维护股东权益为目的，基于对公司未来发展前景的信心和内在价值的认可，本着激励与约束对等的原则确定的。股权激励的内在机制决定本激励计划的实施将对公司持续经营能力和股东权益产生正面影响，本激励计划已设置科学、合理的考核体系，需要激励对象充分发挥主观能动性和创造性，本激励计划的定价方式与考核体系相匹配。</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随着行业及人才竞争的加剧，有效地实施股权激励是稳定核心人才的重要途径。本激励计划激励工具和定价方式的选择已综合考虑激励力度、股份支付费用、出资能力等因素。</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综上，在符合相关规定的基础之上，本激励计划采用自主定价方式确定限制性股票的授予价格，有利于实现公司利益、股东利益和员工利益的有效统一。</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公司聘请的独立财务顾问已对本激励计划的可行性、相关定价依据和定价方法的合理性、是否有利于公司持续发展、是否损害公司股东利益等情形发表意见，具体内容详见公司同日披露于上海证券交易所网站(www.sse.com.cn)的《深圳市他山企业管理咨询有限公司关于赛恩斯环保股份有限公司2023年限制性股票激励计划（草案）的独立财务顾问报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本独立财务顾问认为：本激励计划限制性股票授予价格的确定符合《上市公司股权激励管理办法》第二十三条及《上海证券交易所科创板股票上市规则》第10.6条的规定，定价依据和定价方法合理、可行，有利于本激励计划的实施，有利于公司的持续发展，不存在损害公司及股东利益的情形。”</w:t>
      </w:r>
    </w:p>
    <w:p>
      <w:pPr>
        <w:pStyle w:val="2"/>
        <w:spacing w:before="240" w:after="240" w:line="360" w:lineRule="auto"/>
        <w:ind w:left="0" w:firstLine="482" w:firstLineChars="200"/>
        <w:rPr>
          <w:highlight w:val="none"/>
          <w:lang w:eastAsia="zh-CN"/>
        </w:rPr>
      </w:pPr>
      <w:r>
        <w:rPr>
          <w:rFonts w:hint="eastAsia"/>
          <w:highlight w:val="none"/>
          <w:lang w:eastAsia="zh-CN"/>
        </w:rPr>
        <w:t>七、限制性股票的授予条件与归属条件</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（一）限制性股票的授予条件</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同时满足下列条件的，公司应当向激励对象授予限制性股票；未满足下列任一条件的，公司不得向激励对象授予限制性股票：</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1、公司未发生如下任一情形：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（1）最近一个会计年度财务会计报告被注册会计师出具否定意见或者无法表示意见的审计报告；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（2）最近一个会计年度财务报告内部控制被注册会计师出具否定意见或者无法表示意见的审计报告；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（3）上市后最近36个月内出现过未按法律法规、公司章程、公开承诺进行利润分配的情形；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（4）法律法规规定不得实行股权激励的；</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（5）中国证监会认定的其他情形。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2、激励对象未发生如下任一情形：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（1）最近12个月内被证券交易所认定为不适当人选；</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（2）最近12个月内被中国证监会及其派出机构认定为不适当人选；</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（3）最近12个月内因重大违法违规行为被中国证监会及其派出机构行政处罚或者采取市场禁入措施；</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（4）具有《公司法》规定的不得担任公司董事、高级管理人员情形的；</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（5）法律法规规定不得参与上市公司股权激励的；</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（6）中国证监会认定的其他情形。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（二）限制性股票的归属条件</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各归属期内，同时满足下列条件的，激励对象获授的限制性股票方可归属：</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1、公司未发生如下任一情形：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（1）最近一个会计年度财务会计报告被注册会计师出具否定意见或者无法表示意见的审计报告；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（2）最近一个会计年度财务报告内部控制被注册会计师出具否定意见或者无法表示意见的审计报告；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（3）上市后最近36个月内出现过未按法律法规、公司章程、公开承诺进行利润分配的情形；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（4）法律法规规定不得实行股权激励的；</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（5）中国证监会认定的其他情形。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2、激励对象未发生如下任一情形：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（1）最近12个月内被证券交易所认定为不适当人选；</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（2）最近12个月内被中国证监会及其派出机构认定为不适当人选；</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（3）最近12个月内因重大违法违规行为被中国证监会及其派出机构行政处罚或者采取市场禁入措施；</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（4）具有《公司法》规定的不得担任公司董事、高级管理人员情形的；</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（5）法律法规规定不得参与上市公司股权激励的；</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（6）中国证监会认定的其他情形。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公司发生上述第1条规定情形之一的，所有激励对象已获授但尚未归属的限制性股票不得归属，并作废失效；某一激励对象发生上述第2条规定情形之一的，该激励对象已获授但尚未归属的限制性股票不得归属，并作废失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3、公司层面业绩考核</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本激励计划首次授予的限制性股票归属对应的考核年度为2023年-2025年三个会计年度，每个会计年度考核一次，具体如下：</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1917"/>
        <w:gridCol w:w="66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88" w:hRule="atLeast"/>
          <w:jc w:val="center"/>
        </w:trPr>
        <w:tc>
          <w:tcPr>
            <w:tcW w:w="1125"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归属安排</w:t>
            </w:r>
          </w:p>
        </w:tc>
        <w:tc>
          <w:tcPr>
            <w:tcW w:w="3874"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业绩考核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88" w:hRule="atLeast"/>
          <w:jc w:val="center"/>
        </w:trPr>
        <w:tc>
          <w:tcPr>
            <w:tcW w:w="1125"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第一个归属期</w:t>
            </w:r>
          </w:p>
        </w:tc>
        <w:tc>
          <w:tcPr>
            <w:tcW w:w="6601" w:type="dxa"/>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2023年营业收入不低于8亿元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88" w:hRule="atLeast"/>
          <w:jc w:val="center"/>
        </w:trPr>
        <w:tc>
          <w:tcPr>
            <w:tcW w:w="1125"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第二个归属期</w:t>
            </w:r>
          </w:p>
        </w:tc>
        <w:tc>
          <w:tcPr>
            <w:tcW w:w="6601" w:type="dxa"/>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2023年-2024年两年营业收入累计不低于19亿元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88" w:hRule="atLeast"/>
          <w:jc w:val="center"/>
        </w:trPr>
        <w:tc>
          <w:tcPr>
            <w:tcW w:w="1125"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第三个归属期</w:t>
            </w:r>
          </w:p>
        </w:tc>
        <w:tc>
          <w:tcPr>
            <w:tcW w:w="6601" w:type="dxa"/>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2023年-2025年三年营业收入累计不低于34亿元</w:t>
            </w:r>
          </w:p>
        </w:tc>
      </w:tr>
    </w:tbl>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本激励计划预留授予的限制性股票于2023年第三季度报告披露之前授出的，预留授予的限制性股票归属对应的考核年度为2023年-2025年三个会计年度，每个会计年度考核一次，具体如下：</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1912"/>
        <w:gridCol w:w="66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88" w:hRule="atLeast"/>
          <w:jc w:val="center"/>
        </w:trPr>
        <w:tc>
          <w:tcPr>
            <w:tcW w:w="1122"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归属安排</w:t>
            </w:r>
          </w:p>
        </w:tc>
        <w:tc>
          <w:tcPr>
            <w:tcW w:w="3877"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业绩考核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88" w:hRule="atLeast"/>
          <w:jc w:val="center"/>
        </w:trPr>
        <w:tc>
          <w:tcPr>
            <w:tcW w:w="1122"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第一个归属期</w:t>
            </w:r>
          </w:p>
        </w:tc>
        <w:tc>
          <w:tcPr>
            <w:tcW w:w="6606" w:type="dxa"/>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2023年营业收入不低于8亿元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88" w:hRule="atLeast"/>
          <w:jc w:val="center"/>
        </w:trPr>
        <w:tc>
          <w:tcPr>
            <w:tcW w:w="1122"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第二个归属期</w:t>
            </w:r>
          </w:p>
        </w:tc>
        <w:tc>
          <w:tcPr>
            <w:tcW w:w="6606" w:type="dxa"/>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2023年-2024年两年营业收入累计不低于19亿元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88" w:hRule="atLeast"/>
          <w:jc w:val="center"/>
        </w:trPr>
        <w:tc>
          <w:tcPr>
            <w:tcW w:w="1122"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第三个归属期</w:t>
            </w:r>
          </w:p>
        </w:tc>
        <w:tc>
          <w:tcPr>
            <w:tcW w:w="6606" w:type="dxa"/>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2023年-2025年三年营业收入累计不低于34亿元</w:t>
            </w:r>
          </w:p>
        </w:tc>
      </w:tr>
    </w:tbl>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本激励计划预留授予的限制性股票于2023年第三季度报告披露之后授出的，预留授予的限制性股票归属对应的考核年度为2024年-2025年两个会计年度，每个会计年度考核一次，具体如下：</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1913"/>
        <w:gridCol w:w="6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88" w:hRule="atLeast"/>
          <w:jc w:val="center"/>
        </w:trPr>
        <w:tc>
          <w:tcPr>
            <w:tcW w:w="1123"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归属安排</w:t>
            </w:r>
          </w:p>
        </w:tc>
        <w:tc>
          <w:tcPr>
            <w:tcW w:w="3876"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业绩考核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123"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第一个归属期</w:t>
            </w:r>
          </w:p>
        </w:tc>
        <w:tc>
          <w:tcPr>
            <w:tcW w:w="3876"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2024年营业收入不低于11亿元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123"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第二个归属期</w:t>
            </w:r>
          </w:p>
        </w:tc>
        <w:tc>
          <w:tcPr>
            <w:tcW w:w="3876" w:type="pct"/>
            <w:tcBorders>
              <w:tl2br w:val="nil"/>
              <w:tr2bl w:val="nil"/>
            </w:tcBorders>
            <w:shd w:val="clear" w:color="auto" w:fill="FFFFFF"/>
            <w:vAlign w:val="center"/>
          </w:tcPr>
          <w:p>
            <w:pPr>
              <w:autoSpaceDE w:val="0"/>
              <w:autoSpaceDN w:val="0"/>
              <w:adjustRightInd w:val="0"/>
              <w:spacing w:line="276" w:lineRule="auto"/>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2024年-2025年两年营业收入累计不低于26亿元</w:t>
            </w:r>
          </w:p>
        </w:tc>
      </w:tr>
    </w:tbl>
    <w:p>
      <w:pPr>
        <w:spacing w:line="360" w:lineRule="auto"/>
        <w:jc w:val="both"/>
        <w:rPr>
          <w:rFonts w:ascii="宋体" w:hAnsi="宋体" w:eastAsia="宋体" w:cs="宋体"/>
          <w:kern w:val="2"/>
          <w:sz w:val="18"/>
          <w:szCs w:val="18"/>
          <w:highlight w:val="none"/>
          <w:lang w:eastAsia="zh-CN"/>
        </w:rPr>
      </w:pPr>
      <w:r>
        <w:rPr>
          <w:rFonts w:hint="eastAsia" w:ascii="宋体" w:hAnsi="宋体" w:eastAsia="宋体" w:cs="宋体"/>
          <w:kern w:val="2"/>
          <w:sz w:val="18"/>
          <w:szCs w:val="18"/>
          <w:highlight w:val="none"/>
          <w:lang w:eastAsia="zh-CN"/>
        </w:rPr>
        <w:t>注：1、</w:t>
      </w:r>
      <w:r>
        <w:rPr>
          <w:rFonts w:hint="eastAsia" w:ascii="宋体" w:hAnsi="宋体" w:eastAsia="宋体" w:cs="宋体"/>
          <w:spacing w:val="1"/>
          <w:kern w:val="2"/>
          <w:sz w:val="18"/>
          <w:szCs w:val="18"/>
          <w:highlight w:val="none"/>
          <w:lang w:eastAsia="zh-CN"/>
        </w:rPr>
        <w:t>上述“营业收入”指标以经审计的合并报表所载数据为准。</w:t>
      </w:r>
    </w:p>
    <w:p>
      <w:pPr>
        <w:spacing w:line="360" w:lineRule="auto"/>
        <w:ind w:firstLine="360" w:firstLineChars="200"/>
        <w:jc w:val="both"/>
        <w:rPr>
          <w:rFonts w:ascii="宋体" w:hAnsi="宋体" w:eastAsia="宋体" w:cs="宋体"/>
          <w:kern w:val="2"/>
          <w:sz w:val="18"/>
          <w:szCs w:val="18"/>
          <w:highlight w:val="none"/>
          <w:lang w:eastAsia="zh-CN"/>
        </w:rPr>
      </w:pPr>
      <w:r>
        <w:rPr>
          <w:rFonts w:hint="eastAsia" w:ascii="宋体" w:hAnsi="宋体" w:eastAsia="宋体" w:cs="宋体"/>
          <w:kern w:val="2"/>
          <w:sz w:val="18"/>
          <w:szCs w:val="18"/>
          <w:highlight w:val="none"/>
          <w:lang w:eastAsia="zh-CN"/>
        </w:rPr>
        <w:t>2、上述业绩考核不构成公司对投资者的业绩预测和实质承诺。</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各归属期内，公司未满足相应业绩考核的，所有激励对象当期计划归属的限制性股票不得归属，并作废失效。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4、个人层面绩效考核</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激励对象的个人绩效考核按照公司（含子公司）制定的相关考核标准实施，具体如下：</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585"/>
        <w:gridCol w:w="2465"/>
        <w:gridCol w:w="2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2104" w:type="pct"/>
            <w:tcBorders>
              <w:tl2br w:val="nil"/>
              <w:tr2bl w:val="nil"/>
            </w:tcBorders>
            <w:shd w:val="clear" w:color="auto" w:fill="auto"/>
            <w:vAlign w:val="center"/>
          </w:tcPr>
          <w:p>
            <w:pPr>
              <w:jc w:val="center"/>
              <w:rPr>
                <w:rFonts w:ascii="宋体" w:hAnsi="宋体" w:eastAsia="宋体" w:cs="宋体"/>
                <w:b/>
                <w:kern w:val="2"/>
                <w:sz w:val="21"/>
                <w:szCs w:val="21"/>
                <w:highlight w:val="none"/>
                <w:lang w:eastAsia="zh-CN"/>
              </w:rPr>
            </w:pPr>
            <w:r>
              <w:rPr>
                <w:rFonts w:hint="eastAsia" w:ascii="宋体" w:hAnsi="宋体" w:eastAsia="宋体" w:cs="宋体"/>
                <w:b/>
                <w:kern w:val="2"/>
                <w:sz w:val="21"/>
                <w:szCs w:val="21"/>
                <w:highlight w:val="none"/>
                <w:lang w:eastAsia="zh-CN"/>
              </w:rPr>
              <w:t>个人绩效考核结果</w:t>
            </w:r>
          </w:p>
        </w:tc>
        <w:tc>
          <w:tcPr>
            <w:tcW w:w="1447" w:type="pct"/>
            <w:tcBorders>
              <w:tl2br w:val="nil"/>
              <w:tr2bl w:val="nil"/>
            </w:tcBorders>
            <w:shd w:val="clear" w:color="auto" w:fill="auto"/>
            <w:vAlign w:val="center"/>
          </w:tcPr>
          <w:p>
            <w:pPr>
              <w:autoSpaceDE w:val="0"/>
              <w:autoSpaceDN w:val="0"/>
              <w:adjustRightInd w:val="0"/>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合格</w:t>
            </w:r>
          </w:p>
        </w:tc>
        <w:tc>
          <w:tcPr>
            <w:tcW w:w="1448" w:type="pct"/>
            <w:tcBorders>
              <w:tl2br w:val="nil"/>
              <w:tr2bl w:val="nil"/>
            </w:tcBorders>
            <w:shd w:val="clear" w:color="auto" w:fill="auto"/>
            <w:vAlign w:val="center"/>
          </w:tcPr>
          <w:p>
            <w:pPr>
              <w:autoSpaceDE w:val="0"/>
              <w:autoSpaceDN w:val="0"/>
              <w:adjustRightInd w:val="0"/>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2104" w:type="pct"/>
            <w:tcBorders>
              <w:tl2br w:val="nil"/>
              <w:tr2bl w:val="nil"/>
            </w:tcBorders>
            <w:shd w:val="clear" w:color="auto" w:fill="auto"/>
            <w:vAlign w:val="center"/>
          </w:tcPr>
          <w:p>
            <w:pPr>
              <w:jc w:val="center"/>
              <w:rPr>
                <w:rFonts w:ascii="宋体" w:hAnsi="宋体" w:eastAsia="宋体" w:cs="宋体"/>
                <w:b/>
                <w:kern w:val="2"/>
                <w:sz w:val="21"/>
                <w:szCs w:val="21"/>
                <w:highlight w:val="none"/>
                <w:lang w:eastAsia="zh-CN"/>
              </w:rPr>
            </w:pPr>
            <w:r>
              <w:rPr>
                <w:rFonts w:hint="eastAsia" w:ascii="宋体" w:hAnsi="宋体" w:eastAsia="宋体" w:cs="宋体"/>
                <w:b/>
                <w:kern w:val="2"/>
                <w:sz w:val="21"/>
                <w:szCs w:val="21"/>
                <w:highlight w:val="none"/>
                <w:lang w:eastAsia="zh-CN"/>
              </w:rPr>
              <w:t>个人层面可归属比例</w:t>
            </w:r>
          </w:p>
        </w:tc>
        <w:tc>
          <w:tcPr>
            <w:tcW w:w="1447" w:type="pct"/>
            <w:tcBorders>
              <w:tl2br w:val="nil"/>
              <w:tr2bl w:val="nil"/>
            </w:tcBorders>
            <w:shd w:val="clear" w:color="auto" w:fill="auto"/>
            <w:vAlign w:val="center"/>
          </w:tcPr>
          <w:p>
            <w:pPr>
              <w:autoSpaceDE w:val="0"/>
              <w:autoSpaceDN w:val="0"/>
              <w:adjustRightInd w:val="0"/>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100%</w:t>
            </w:r>
          </w:p>
        </w:tc>
        <w:tc>
          <w:tcPr>
            <w:tcW w:w="1448" w:type="pct"/>
            <w:tcBorders>
              <w:tl2br w:val="nil"/>
              <w:tr2bl w:val="nil"/>
            </w:tcBorders>
            <w:shd w:val="clear" w:color="auto" w:fill="auto"/>
            <w:vAlign w:val="center"/>
          </w:tcPr>
          <w:p>
            <w:pPr>
              <w:autoSpaceDE w:val="0"/>
              <w:autoSpaceDN w:val="0"/>
              <w:adjustRightInd w:val="0"/>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0%</w:t>
            </w:r>
          </w:p>
        </w:tc>
      </w:tr>
    </w:tbl>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各归属期内，公司满足相应业绩考核，且激励对象个人满足相应绩效考核的，激励对象个人当期计划归属的限制性股票可予以全部归属，对应当期未能归属的限制性股票不得归属，并作废失效。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（三）考核指标的科学性和合理性说明</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本激励计划的考核体系包括公司层面业绩考核和个人层面绩效考核，符合《上市公司股权激励管理办法》等有关规定。</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公司层面考核指标为营业收入，营业收入是衡量公司经营状况和市场占有能力、预测公司经营业务拓展趋势的重要财务指标，反映公司的成长能力和行业竞争力，业绩考核的设定经过合理预测，已充分考虑宏观经济环境、行业发展及市场竞争情况、公司经营状况及发展规划等相关因素。</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个人层面绩效考核能够对激励对象的工作绩效做出较为准确、全面的评价。公司将根据激励对象的个人绩效考核结果，确定激励对象获授的限制性股票是否达到归属条件。</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综上，本激励计划的考核体系科学、合理，具有全面性、综合性和可操作性，能够调动激励对象的工作积极性和创造性，为公司发展战略和经营目标的实现提供坚实保障，为股东带来更高效、更持久的回报。</w:t>
      </w:r>
    </w:p>
    <w:p>
      <w:pPr>
        <w:pStyle w:val="2"/>
        <w:spacing w:before="240" w:after="240" w:line="360" w:lineRule="auto"/>
        <w:ind w:left="0" w:firstLine="482" w:firstLineChars="200"/>
        <w:rPr>
          <w:highlight w:val="none"/>
          <w:lang w:eastAsia="zh-CN"/>
        </w:rPr>
      </w:pPr>
      <w:r>
        <w:rPr>
          <w:rFonts w:hint="eastAsia"/>
          <w:highlight w:val="none"/>
          <w:lang w:eastAsia="zh-CN"/>
        </w:rPr>
        <w:t>八、股权激励计划的实施程序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（一）本激励计划的生效程序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1、董事会下设的薪酬与考核委员会负责拟定本激励计划，并提交董事会审议。</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董事会应当依法对本激励计划做出决议。董事会审议本激励计划时，作为激励对象的董事或者与其存在关联关系的董事应当回避表决。董事会应当在审议通过本激励计划并履行公告程序后，提请股东大会审议本激励计划的有关议案，包括提请股东大会授权董事会负责实施限制性股票的授予、归属或者作废失效事项。</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3、独立董事、监事会应当就本激励计划是否有利于公司持续发展，是否存在明显损害公司及全体股东利益的情形发表明确意见。</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本激励计划经股东大会审议通过后方可实施。公司应当在召开股东大会前，内部公示激励对象的姓名和职务，公示期不少于10天。监事会在充分听取公示意见的基础之上，核查激励对象相关信息，并于股东大会审议本激励计划前5日披露核查意见。激励对象名单出现调整的，应当经监事会核实。</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5、公司召开股东大会审议本激励计划时，独立董事应当就拟提请股东大会审议的本激励计划有关议案向全体股东征集表决权。股东大会应当对《上市公司股权激励管理办法》第九条规定的股权激励计划内容进行表决，并经出席会议的股东所持表决权的2/3以上通过，单独统计并披露除公司董事、监事、高级管理人员、单独或者合计持有公司5%以上股份的股东以外的其他股东的投票情况。股东大会审议本激励计划时，作为激励对象的股东或者与激励对象存在关联关系的股东，应当回避表决。</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6、本激励计划经股东大会审议通过后，且达到本激励计划设定的授予条件时，公司应当向激励对象授予限制性股票。经股东大会授权后，董事会负责实施限制性股票的授予、归属或者作废失效事项。</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（二）限制性股票的授予程序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公司向激励对象授予限制性股票前，董事会应当就本激励计划设定的授予条件是否成就进行审议并公告，独立董事、监事会应当发表明确意见，律师事务所应当对本激励计划设定的授予条件是否成就发表明确意见。</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2、监事会应当对董事会确定的授予日及授予激励对象名单进行核实并发表明确意见。</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3、公司向激励对象授予限制性股票的实际情况与本激励计划既定安排存在差异的，独立董事、监事会（当激励对象发生变化时）、律师事务所应当发表明确意见。</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自股东大会审议通过本激励计划之日起60日内满足授予条件的，公司召开董事会向激励对象首次授予限制性股票并完成公告，授予日必须为交易日；公司未能在60日内完成上述工作的，应当及时披露未完成的原因，并终止实施本激励计划，未授予的限制性股票作废失效。预留授予的限制性股票须在本激励计划经股东大会审议通过后的12个月内授出。</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（三）本激励计划的归属程序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1、限制性股票归属前，董事会应当就本激励计划设定的归属条件是否成就进行审议，独立董事、监事会应当发表明确意见，律师事务所应当对本激励计划设定的归属条件是否成就出具法律意见书。</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归属期内，激励对象获授的限制性股票满足归属条件的，公司可按规定办理归属事项；未满足归属条件的限制性股票或者满足归属条件但激励对象未申请归属的限制性股票不得归属，并作废失效；公司应当及时披露董事会决议公告，同时披露独立董事、监事会、律师事务所意见及相关实施情况的公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3、公司为激励对象办理限制性股票归属事项，应当向证券交易所提出申请，经证券交易所确认后，由证券登记结算机构办理。</w:t>
      </w:r>
    </w:p>
    <w:p>
      <w:pPr>
        <w:pStyle w:val="2"/>
        <w:spacing w:before="240" w:after="240" w:line="360" w:lineRule="auto"/>
        <w:ind w:left="0" w:firstLine="482" w:firstLineChars="200"/>
        <w:rPr>
          <w:highlight w:val="none"/>
          <w:lang w:eastAsia="zh-CN"/>
        </w:rPr>
      </w:pPr>
      <w:r>
        <w:rPr>
          <w:rFonts w:hint="eastAsia"/>
          <w:highlight w:val="none"/>
          <w:lang w:eastAsia="zh-CN"/>
        </w:rPr>
        <w:t>九、本激励计划的调整方法和程序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（一）限制性股票授予数量的调整方法</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自本激励计划草案公告之日起至激励对象获授的限制性股票完成归属前，公司发生资本公积转增股本、派发股票红利、股票拆细、配股、缩股等事项的，应当相应调整限制性股票的授予数量。调整方法如下：</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1、资本公积转增股本、派送股票红利、股票拆细</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Q＝Q</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×（1＋n）</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其中：Q</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为调整前的限制性股票授予数量；n为每股资本公积转增股本、派送股票红利、股票拆细的比例；Q为调整后的限制性股票授予数量。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2、配股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Q＝Q</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×P</w:t>
      </w:r>
      <w:r>
        <w:rPr>
          <w:rFonts w:hint="eastAsia" w:asciiTheme="majorEastAsia" w:hAnsiTheme="majorEastAsia" w:eastAsiaTheme="majorEastAsia"/>
          <w:sz w:val="24"/>
          <w:szCs w:val="24"/>
          <w:highlight w:val="none"/>
          <w:vertAlign w:val="subscript"/>
          <w:lang w:eastAsia="zh-CN"/>
        </w:rPr>
        <w:t>1</w:t>
      </w:r>
      <w:r>
        <w:rPr>
          <w:rFonts w:hint="eastAsia" w:asciiTheme="majorEastAsia" w:hAnsiTheme="majorEastAsia" w:eastAsiaTheme="majorEastAsia"/>
          <w:sz w:val="24"/>
          <w:szCs w:val="24"/>
          <w:highlight w:val="none"/>
          <w:lang w:eastAsia="zh-CN"/>
        </w:rPr>
        <w:t>×（1＋n）/（P</w:t>
      </w:r>
      <w:r>
        <w:rPr>
          <w:rFonts w:hint="eastAsia" w:asciiTheme="majorEastAsia" w:hAnsiTheme="majorEastAsia" w:eastAsiaTheme="majorEastAsia"/>
          <w:sz w:val="24"/>
          <w:szCs w:val="24"/>
          <w:highlight w:val="none"/>
          <w:vertAlign w:val="subscript"/>
          <w:lang w:eastAsia="zh-CN"/>
        </w:rPr>
        <w:t>1</w:t>
      </w:r>
      <w:r>
        <w:rPr>
          <w:rFonts w:hint="eastAsia" w:asciiTheme="majorEastAsia" w:hAnsiTheme="majorEastAsia" w:eastAsiaTheme="majorEastAsia"/>
          <w:sz w:val="24"/>
          <w:szCs w:val="24"/>
          <w:highlight w:val="none"/>
          <w:lang w:eastAsia="zh-CN"/>
        </w:rPr>
        <w:t>＋P</w:t>
      </w:r>
      <w:r>
        <w:rPr>
          <w:rFonts w:hint="eastAsia" w:asciiTheme="majorEastAsia" w:hAnsiTheme="majorEastAsia" w:eastAsiaTheme="majorEastAsia"/>
          <w:sz w:val="24"/>
          <w:szCs w:val="24"/>
          <w:highlight w:val="none"/>
          <w:vertAlign w:val="subscript"/>
          <w:lang w:eastAsia="zh-CN"/>
        </w:rPr>
        <w:t>2</w:t>
      </w:r>
      <w:r>
        <w:rPr>
          <w:rFonts w:hint="eastAsia" w:asciiTheme="majorEastAsia" w:hAnsiTheme="majorEastAsia" w:eastAsiaTheme="majorEastAsia"/>
          <w:sz w:val="24"/>
          <w:szCs w:val="24"/>
          <w:highlight w:val="none"/>
          <w:lang w:eastAsia="zh-CN"/>
        </w:rPr>
        <w:t>×n）</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其中：Q</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为调整前的限制性股票授予数量；P</w:t>
      </w:r>
      <w:r>
        <w:rPr>
          <w:rFonts w:hint="eastAsia" w:asciiTheme="majorEastAsia" w:hAnsiTheme="majorEastAsia" w:eastAsiaTheme="majorEastAsia"/>
          <w:sz w:val="24"/>
          <w:szCs w:val="24"/>
          <w:highlight w:val="none"/>
          <w:vertAlign w:val="subscript"/>
          <w:lang w:eastAsia="zh-CN"/>
        </w:rPr>
        <w:t>1</w:t>
      </w:r>
      <w:r>
        <w:rPr>
          <w:rFonts w:hint="eastAsia" w:asciiTheme="majorEastAsia" w:hAnsiTheme="majorEastAsia" w:eastAsiaTheme="majorEastAsia"/>
          <w:sz w:val="24"/>
          <w:szCs w:val="24"/>
          <w:highlight w:val="none"/>
          <w:lang w:eastAsia="zh-CN"/>
        </w:rPr>
        <w:t>为股权登记日收盘价；P</w:t>
      </w:r>
      <w:r>
        <w:rPr>
          <w:rFonts w:hint="eastAsia" w:asciiTheme="majorEastAsia" w:hAnsiTheme="majorEastAsia" w:eastAsiaTheme="majorEastAsia"/>
          <w:sz w:val="24"/>
          <w:szCs w:val="24"/>
          <w:highlight w:val="none"/>
          <w:vertAlign w:val="subscript"/>
          <w:lang w:eastAsia="zh-CN"/>
        </w:rPr>
        <w:t>2</w:t>
      </w:r>
      <w:r>
        <w:rPr>
          <w:rFonts w:hint="eastAsia" w:asciiTheme="majorEastAsia" w:hAnsiTheme="majorEastAsia" w:eastAsiaTheme="majorEastAsia"/>
          <w:sz w:val="24"/>
          <w:szCs w:val="24"/>
          <w:highlight w:val="none"/>
          <w:lang w:eastAsia="zh-CN"/>
        </w:rPr>
        <w:t>为配股价格；n为配股的比例；Q为调整后的限制性股票授予数量。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3、缩股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Q＝Q</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×n</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其中：Q</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为调整前的限制性股票授予数量；n为缩股的比例；Q为调整后的限制性股票授予数量。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4、派息、增发新股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公司发生派息或者增发新股事项的，不调整限制性股票的授予数量。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（二）限制性股票授予价格的调整方法</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自本激励计划草案公告之日起至激励对象获授的限制性股票完成归属前，公司发生资本公积转增股本、派发股票红利、股票拆细、配股、缩股、派息等事项的，应当相应调整限制性股票的授予价格。调整方法如下：</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1、资本公积转增股本、派送股票红利、股票拆细</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P＝P</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÷（1＋n）</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其中：P</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为调整前的限制性股票授予价格；n为每股资本公积转增股本、派送股票红利、股票拆细的比例；P为调整后的限制性股票授予价格。</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2、配股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P＝P</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×（P</w:t>
      </w:r>
      <w:r>
        <w:rPr>
          <w:rFonts w:hint="eastAsia" w:asciiTheme="majorEastAsia" w:hAnsiTheme="majorEastAsia" w:eastAsiaTheme="majorEastAsia"/>
          <w:sz w:val="24"/>
          <w:szCs w:val="24"/>
          <w:highlight w:val="none"/>
          <w:vertAlign w:val="subscript"/>
          <w:lang w:eastAsia="zh-CN"/>
        </w:rPr>
        <w:t>1</w:t>
      </w:r>
      <w:r>
        <w:rPr>
          <w:rFonts w:hint="eastAsia" w:asciiTheme="majorEastAsia" w:hAnsiTheme="majorEastAsia" w:eastAsiaTheme="majorEastAsia"/>
          <w:sz w:val="24"/>
          <w:szCs w:val="24"/>
          <w:highlight w:val="none"/>
          <w:lang w:eastAsia="zh-CN"/>
        </w:rPr>
        <w:t>＋P</w:t>
      </w:r>
      <w:r>
        <w:rPr>
          <w:rFonts w:hint="eastAsia" w:asciiTheme="majorEastAsia" w:hAnsiTheme="majorEastAsia" w:eastAsiaTheme="majorEastAsia"/>
          <w:sz w:val="24"/>
          <w:szCs w:val="24"/>
          <w:highlight w:val="none"/>
          <w:vertAlign w:val="subscript"/>
          <w:lang w:eastAsia="zh-CN"/>
        </w:rPr>
        <w:t>2</w:t>
      </w:r>
      <w:r>
        <w:rPr>
          <w:rFonts w:hint="eastAsia" w:asciiTheme="majorEastAsia" w:hAnsiTheme="majorEastAsia" w:eastAsiaTheme="majorEastAsia"/>
          <w:sz w:val="24"/>
          <w:szCs w:val="24"/>
          <w:highlight w:val="none"/>
          <w:lang w:eastAsia="zh-CN"/>
        </w:rPr>
        <w:t>×n）/[P</w:t>
      </w:r>
      <w:r>
        <w:rPr>
          <w:rFonts w:hint="eastAsia" w:asciiTheme="majorEastAsia" w:hAnsiTheme="majorEastAsia" w:eastAsiaTheme="majorEastAsia"/>
          <w:sz w:val="24"/>
          <w:szCs w:val="24"/>
          <w:highlight w:val="none"/>
          <w:vertAlign w:val="subscript"/>
          <w:lang w:eastAsia="zh-CN"/>
        </w:rPr>
        <w:t>1</w:t>
      </w:r>
      <w:r>
        <w:rPr>
          <w:rFonts w:hint="eastAsia" w:asciiTheme="majorEastAsia" w:hAnsiTheme="majorEastAsia" w:eastAsiaTheme="majorEastAsia"/>
          <w:sz w:val="24"/>
          <w:szCs w:val="24"/>
          <w:highlight w:val="none"/>
          <w:lang w:eastAsia="zh-CN"/>
        </w:rPr>
        <w:t>×（1＋n）]</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其中：P</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为调整前的限制性股票授予价格；P</w:t>
      </w:r>
      <w:r>
        <w:rPr>
          <w:rFonts w:hint="eastAsia" w:asciiTheme="majorEastAsia" w:hAnsiTheme="majorEastAsia" w:eastAsiaTheme="majorEastAsia"/>
          <w:sz w:val="24"/>
          <w:szCs w:val="24"/>
          <w:highlight w:val="none"/>
          <w:vertAlign w:val="subscript"/>
          <w:lang w:eastAsia="zh-CN"/>
        </w:rPr>
        <w:t>1</w:t>
      </w:r>
      <w:r>
        <w:rPr>
          <w:rFonts w:hint="eastAsia" w:asciiTheme="majorEastAsia" w:hAnsiTheme="majorEastAsia" w:eastAsiaTheme="majorEastAsia"/>
          <w:sz w:val="24"/>
          <w:szCs w:val="24"/>
          <w:highlight w:val="none"/>
          <w:lang w:eastAsia="zh-CN"/>
        </w:rPr>
        <w:t>为股权登记日收盘价；P</w:t>
      </w:r>
      <w:r>
        <w:rPr>
          <w:rFonts w:hint="eastAsia" w:asciiTheme="majorEastAsia" w:hAnsiTheme="majorEastAsia" w:eastAsiaTheme="majorEastAsia"/>
          <w:sz w:val="24"/>
          <w:szCs w:val="24"/>
          <w:highlight w:val="none"/>
          <w:vertAlign w:val="subscript"/>
          <w:lang w:eastAsia="zh-CN"/>
        </w:rPr>
        <w:t>2</w:t>
      </w:r>
      <w:r>
        <w:rPr>
          <w:rFonts w:hint="eastAsia" w:asciiTheme="majorEastAsia" w:hAnsiTheme="majorEastAsia" w:eastAsiaTheme="majorEastAsia"/>
          <w:sz w:val="24"/>
          <w:szCs w:val="24"/>
          <w:highlight w:val="none"/>
          <w:lang w:eastAsia="zh-CN"/>
        </w:rPr>
        <w:t>为配股价格；n为配股的比例；P为调整后的限制性股票授予价格。</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3、缩股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P＝P</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÷n</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其中：P</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为调整前的限制性股票授予价格；n为缩股的比例；P为调整后的限制性股票授予价格。</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4、派息</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P＝P</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-V</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其中：P</w:t>
      </w:r>
      <w:r>
        <w:rPr>
          <w:rFonts w:hint="eastAsia" w:asciiTheme="majorEastAsia" w:hAnsiTheme="majorEastAsia" w:eastAsiaTheme="majorEastAsia"/>
          <w:sz w:val="24"/>
          <w:szCs w:val="24"/>
          <w:highlight w:val="none"/>
          <w:vertAlign w:val="subscript"/>
          <w:lang w:eastAsia="zh-CN"/>
        </w:rPr>
        <w:t>0</w:t>
      </w:r>
      <w:r>
        <w:rPr>
          <w:rFonts w:hint="eastAsia" w:asciiTheme="majorEastAsia" w:hAnsiTheme="majorEastAsia" w:eastAsiaTheme="majorEastAsia"/>
          <w:sz w:val="24"/>
          <w:szCs w:val="24"/>
          <w:highlight w:val="none"/>
          <w:lang w:eastAsia="zh-CN"/>
        </w:rPr>
        <w:t>为调整前的限制性股票授予价格；V为每股的派息额；P为调整后的限制性股票授予价格。经派息调整后，P仍须为正数。</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5、增发新股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公司发生增发新股事项的，不调整限制性股票的授予价格。</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（三）本激励计划的调整程序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股东大会授权董事会，当出现上述情况时，调整限制性股票的授予数量和/或授予价格；公司应当聘请律师事务所就上述调整事项是否符合《上市公司股权激励管理办法》《公司章程》和本激励计划的有关规定出具法律意见书；上述调整事项经董事会审议通过后，公司应当及时披露董事会决议公告，同时公告法律意见书。</w:t>
      </w:r>
    </w:p>
    <w:p>
      <w:pPr>
        <w:pStyle w:val="2"/>
        <w:spacing w:before="240" w:after="240" w:line="360" w:lineRule="auto"/>
        <w:ind w:left="0" w:firstLine="482" w:firstLineChars="200"/>
        <w:rPr>
          <w:highlight w:val="none"/>
          <w:lang w:eastAsia="zh-CN"/>
        </w:rPr>
      </w:pPr>
      <w:r>
        <w:rPr>
          <w:rFonts w:hint="eastAsia"/>
          <w:highlight w:val="none"/>
          <w:lang w:eastAsia="zh-CN"/>
        </w:rPr>
        <w:t>十、会计处理方法与业绩影响测算</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根据中华人民共和国财政部会计司《股份支付准则应用案例—授予限制性股票》的有关规定，第二类限制性股票股份支付费用的计量应当参照股票期权执行。根据《企业会计准则第11号—股份支付》《企业会计准则第22号—金融工具确认和计量》的有关规定，公司将在本激励计划等待期内的每个资产负债表日，根据可申请限制性股票归属的人数变动、限制性股票归属条件的完成情况等后续信息，修正预计可归属的限制性股票数量，并按照授予日限制性股票的公允价值，将当期取得的服务计入相关成本或费用和资本公积。</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（一）本激励计划的会计处理方法</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1、授予日</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由于授予日第二类限制性股票尚不能归属，因此不需要进行相关会计处理。公司将在授予日采用Black-Scholes模型确定第二类限制性股票在授予日的公允价值。</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2、可归属日前</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公司在可归属日前的每个资产负债表日，以对可归属的第二类限制性股票数量的最佳估算为基础，按照授予日第二类限制性股票的公允价值和归属比例，将取得员工提供的服务计入成本费用，同时确认所有者权益“资本公积—其他资本公积”，不确认其后续公允价值变动。</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3、可归属日之后</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可归属日之后，不再对已确认的成本费用和所有者权益进行调整。达到归属条件的，结转可归属日前每个资产负债表日确认的“资本公积—其他资本公积”。</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（二）限制性股票公允价值的确定方法</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根据《企业会计准则第11号—股份支付》《企业会计准则第22号—金融工具确认和计量》的有关规定，公司选择Black-Scholes模型来计算第二类限制性股票的公允价值。假设公司于2023年4月向激励对象首次授予限制性股票共计168.50万股，以2023年3月21日作为基准日进行预测算，具体参数选取如下：</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1、标的股价：33.87元/股（2023年3月21日公司股票收盘价为33.87元/股，假设为授予日收盘价）；</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2、有效期：1年、2年、3年（限制性股票授予之日至每期可归属日的期限）；</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3、历史波动率：15.59%、15.10%、16.02%（上证指数最近1年、2年、3年的年化波动率）；</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4、无风险利率：1.50%、2.10%、2.75%（中国人民银行制定的金融机构1年期、2年期、3年期人民币存款基准利率）；</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5、</w:t>
      </w:r>
      <w:r>
        <w:rPr>
          <w:rFonts w:hint="eastAsia" w:asciiTheme="majorEastAsia" w:hAnsiTheme="majorEastAsia" w:eastAsiaTheme="majorEastAsia"/>
          <w:sz w:val="24"/>
          <w:szCs w:val="24"/>
          <w:highlight w:val="none"/>
          <w:lang w:eastAsia="zh-CN"/>
        </w:rPr>
        <w:t>股息率：</w:t>
      </w:r>
      <w:r>
        <w:rPr>
          <w:rFonts w:hint="eastAsia" w:asciiTheme="majorEastAsia" w:hAnsiTheme="majorEastAsia" w:eastAsiaTheme="majorEastAsia"/>
          <w:sz w:val="24"/>
          <w:szCs w:val="24"/>
          <w:highlight w:val="none"/>
          <w:lang w:val="en-US" w:eastAsia="zh-CN"/>
        </w:rPr>
        <w:t>0</w:t>
      </w:r>
      <w:r>
        <w:rPr>
          <w:rFonts w:hint="eastAsia" w:asciiTheme="majorEastAsia" w:hAnsiTheme="majorEastAsia" w:eastAsiaTheme="majorEastAsia"/>
          <w:sz w:val="24"/>
          <w:szCs w:val="24"/>
          <w:highlight w:val="none"/>
          <w:lang w:eastAsia="zh-CN"/>
        </w:rPr>
        <w:t>%。</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（三）预计本激励计划实施对公司各期经营业绩的影响</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公司向激励对象首次授予限制性股票产生的激励成本将在本激励计划的实施过程中根据归属安排分期摊销，预计对公司相关期间经营业绩的影响如下：</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83"/>
        <w:gridCol w:w="1660"/>
        <w:gridCol w:w="1660"/>
        <w:gridCol w:w="1657"/>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1105" w:type="pct"/>
            <w:tcBorders>
              <w:tl2br w:val="nil"/>
              <w:tr2bl w:val="nil"/>
            </w:tcBorders>
            <w:vAlign w:val="center"/>
          </w:tcPr>
          <w:p>
            <w:pPr>
              <w:ind w:left="-117" w:leftChars="-53" w:right="-102"/>
              <w:jc w:val="center"/>
              <w:rPr>
                <w:rFonts w:ascii="宋体" w:hAnsi="宋体" w:eastAsia="宋体" w:cs="宋体"/>
                <w:b/>
                <w:color w:val="000000"/>
                <w:kern w:val="2"/>
                <w:sz w:val="21"/>
                <w:highlight w:val="none"/>
                <w:lang w:eastAsia="zh-CN"/>
              </w:rPr>
            </w:pPr>
            <w:r>
              <w:rPr>
                <w:rFonts w:hint="eastAsia" w:ascii="宋体" w:hAnsi="宋体" w:eastAsia="宋体" w:cs="宋体"/>
                <w:b/>
                <w:color w:val="000000"/>
                <w:kern w:val="2"/>
                <w:sz w:val="21"/>
                <w:highlight w:val="none"/>
                <w:lang w:eastAsia="zh-CN"/>
              </w:rPr>
              <w:t>激励总成本</w:t>
            </w:r>
          </w:p>
          <w:p>
            <w:pPr>
              <w:ind w:left="-117" w:leftChars="-53" w:right="-102"/>
              <w:jc w:val="center"/>
              <w:rPr>
                <w:rFonts w:ascii="宋体" w:hAnsi="宋体" w:eastAsia="宋体" w:cs="宋体"/>
                <w:b/>
                <w:color w:val="000000"/>
                <w:kern w:val="2"/>
                <w:sz w:val="21"/>
                <w:highlight w:val="none"/>
                <w:lang w:eastAsia="zh-CN"/>
              </w:rPr>
            </w:pPr>
            <w:r>
              <w:rPr>
                <w:rFonts w:hint="eastAsia" w:ascii="宋体" w:hAnsi="宋体" w:eastAsia="宋体" w:cs="宋体"/>
                <w:b/>
                <w:color w:val="000000"/>
                <w:kern w:val="2"/>
                <w:sz w:val="21"/>
                <w:highlight w:val="none"/>
                <w:lang w:eastAsia="zh-CN"/>
              </w:rPr>
              <w:t>（万元）</w:t>
            </w:r>
          </w:p>
        </w:tc>
        <w:tc>
          <w:tcPr>
            <w:tcW w:w="974" w:type="pct"/>
            <w:tcBorders>
              <w:tl2br w:val="nil"/>
              <w:tr2bl w:val="nil"/>
            </w:tcBorders>
            <w:vAlign w:val="center"/>
          </w:tcPr>
          <w:p>
            <w:pPr>
              <w:ind w:right="-153"/>
              <w:jc w:val="center"/>
              <w:rPr>
                <w:rFonts w:ascii="宋体" w:hAnsi="宋体" w:eastAsia="宋体" w:cs="宋体"/>
                <w:b/>
                <w:color w:val="000000"/>
                <w:kern w:val="2"/>
                <w:sz w:val="21"/>
                <w:highlight w:val="none"/>
                <w:lang w:eastAsia="zh-CN"/>
              </w:rPr>
            </w:pPr>
            <w:r>
              <w:rPr>
                <w:rFonts w:hint="eastAsia" w:ascii="宋体" w:hAnsi="宋体" w:eastAsia="宋体" w:cs="宋体"/>
                <w:b/>
                <w:color w:val="000000"/>
                <w:kern w:val="2"/>
                <w:sz w:val="21"/>
                <w:highlight w:val="none"/>
                <w:lang w:eastAsia="zh-CN"/>
              </w:rPr>
              <w:t>2023年</w:t>
            </w:r>
          </w:p>
          <w:p>
            <w:pPr>
              <w:ind w:right="-153"/>
              <w:jc w:val="center"/>
              <w:rPr>
                <w:rFonts w:ascii="宋体" w:hAnsi="宋体" w:eastAsia="宋体" w:cs="宋体"/>
                <w:b/>
                <w:color w:val="000000"/>
                <w:kern w:val="2"/>
                <w:sz w:val="21"/>
                <w:szCs w:val="24"/>
                <w:highlight w:val="none"/>
                <w:lang w:eastAsia="zh-CN"/>
              </w:rPr>
            </w:pPr>
            <w:r>
              <w:rPr>
                <w:rFonts w:hint="eastAsia" w:ascii="宋体" w:hAnsi="宋体" w:eastAsia="宋体" w:cs="宋体"/>
                <w:b/>
                <w:color w:val="000000"/>
                <w:kern w:val="2"/>
                <w:sz w:val="21"/>
                <w:highlight w:val="none"/>
                <w:lang w:eastAsia="zh-CN"/>
              </w:rPr>
              <w:t>（万元）</w:t>
            </w:r>
          </w:p>
        </w:tc>
        <w:tc>
          <w:tcPr>
            <w:tcW w:w="974" w:type="pct"/>
            <w:tcBorders>
              <w:tl2br w:val="nil"/>
              <w:tr2bl w:val="nil"/>
            </w:tcBorders>
            <w:vAlign w:val="center"/>
          </w:tcPr>
          <w:p>
            <w:pPr>
              <w:ind w:right="-153"/>
              <w:jc w:val="center"/>
              <w:rPr>
                <w:rFonts w:ascii="宋体" w:hAnsi="宋体" w:eastAsia="宋体" w:cs="宋体"/>
                <w:b/>
                <w:color w:val="000000"/>
                <w:kern w:val="2"/>
                <w:sz w:val="21"/>
                <w:highlight w:val="none"/>
                <w:lang w:eastAsia="zh-CN"/>
              </w:rPr>
            </w:pPr>
            <w:r>
              <w:rPr>
                <w:rFonts w:hint="eastAsia" w:ascii="宋体" w:hAnsi="宋体" w:eastAsia="宋体" w:cs="宋体"/>
                <w:b/>
                <w:color w:val="000000"/>
                <w:kern w:val="2"/>
                <w:sz w:val="21"/>
                <w:highlight w:val="none"/>
                <w:lang w:eastAsia="zh-CN"/>
              </w:rPr>
              <w:t>2024年</w:t>
            </w:r>
          </w:p>
          <w:p>
            <w:pPr>
              <w:ind w:right="-153"/>
              <w:jc w:val="center"/>
              <w:rPr>
                <w:rFonts w:ascii="宋体" w:hAnsi="宋体" w:eastAsia="宋体" w:cs="宋体"/>
                <w:b/>
                <w:color w:val="000000"/>
                <w:kern w:val="2"/>
                <w:sz w:val="21"/>
                <w:szCs w:val="24"/>
                <w:highlight w:val="none"/>
                <w:lang w:eastAsia="zh-CN"/>
              </w:rPr>
            </w:pPr>
            <w:r>
              <w:rPr>
                <w:rFonts w:hint="eastAsia" w:ascii="宋体" w:hAnsi="宋体" w:eastAsia="宋体" w:cs="宋体"/>
                <w:b/>
                <w:color w:val="000000"/>
                <w:kern w:val="2"/>
                <w:sz w:val="21"/>
                <w:highlight w:val="none"/>
                <w:lang w:eastAsia="zh-CN"/>
              </w:rPr>
              <w:t>（万元）</w:t>
            </w:r>
          </w:p>
        </w:tc>
        <w:tc>
          <w:tcPr>
            <w:tcW w:w="972" w:type="pct"/>
            <w:tcBorders>
              <w:tl2br w:val="nil"/>
              <w:tr2bl w:val="nil"/>
            </w:tcBorders>
            <w:vAlign w:val="center"/>
          </w:tcPr>
          <w:p>
            <w:pPr>
              <w:ind w:right="-153"/>
              <w:jc w:val="center"/>
              <w:rPr>
                <w:rFonts w:ascii="宋体" w:hAnsi="宋体" w:eastAsia="宋体" w:cs="宋体"/>
                <w:b/>
                <w:color w:val="000000"/>
                <w:kern w:val="2"/>
                <w:sz w:val="21"/>
                <w:highlight w:val="none"/>
                <w:lang w:eastAsia="zh-CN"/>
              </w:rPr>
            </w:pPr>
            <w:r>
              <w:rPr>
                <w:rFonts w:hint="eastAsia" w:ascii="宋体" w:hAnsi="宋体" w:eastAsia="宋体" w:cs="宋体"/>
                <w:b/>
                <w:color w:val="000000"/>
                <w:kern w:val="2"/>
                <w:sz w:val="21"/>
                <w:highlight w:val="none"/>
                <w:lang w:eastAsia="zh-CN"/>
              </w:rPr>
              <w:t>2025年</w:t>
            </w:r>
          </w:p>
          <w:p>
            <w:pPr>
              <w:ind w:right="-153"/>
              <w:jc w:val="center"/>
              <w:rPr>
                <w:rFonts w:ascii="宋体" w:hAnsi="宋体" w:eastAsia="宋体" w:cs="宋体"/>
                <w:b/>
                <w:color w:val="000000"/>
                <w:kern w:val="2"/>
                <w:sz w:val="21"/>
                <w:highlight w:val="none"/>
                <w:lang w:eastAsia="zh-CN"/>
              </w:rPr>
            </w:pPr>
            <w:r>
              <w:rPr>
                <w:rFonts w:hint="eastAsia" w:ascii="宋体" w:hAnsi="宋体" w:eastAsia="宋体" w:cs="宋体"/>
                <w:b/>
                <w:color w:val="000000"/>
                <w:kern w:val="2"/>
                <w:sz w:val="21"/>
                <w:highlight w:val="none"/>
                <w:lang w:eastAsia="zh-CN"/>
              </w:rPr>
              <w:t>（万元）</w:t>
            </w:r>
          </w:p>
        </w:tc>
        <w:tc>
          <w:tcPr>
            <w:tcW w:w="972" w:type="pct"/>
            <w:tcBorders>
              <w:tl2br w:val="nil"/>
              <w:tr2bl w:val="nil"/>
            </w:tcBorders>
            <w:vAlign w:val="center"/>
          </w:tcPr>
          <w:p>
            <w:pPr>
              <w:ind w:right="-153"/>
              <w:jc w:val="center"/>
              <w:rPr>
                <w:rFonts w:ascii="宋体" w:hAnsi="宋体" w:eastAsia="宋体" w:cs="宋体"/>
                <w:b/>
                <w:color w:val="000000"/>
                <w:kern w:val="2"/>
                <w:sz w:val="21"/>
                <w:highlight w:val="none"/>
                <w:lang w:eastAsia="zh-CN"/>
              </w:rPr>
            </w:pPr>
            <w:r>
              <w:rPr>
                <w:rFonts w:hint="eastAsia" w:ascii="宋体" w:hAnsi="宋体" w:eastAsia="宋体" w:cs="宋体"/>
                <w:b/>
                <w:color w:val="000000"/>
                <w:kern w:val="2"/>
                <w:sz w:val="21"/>
                <w:highlight w:val="none"/>
                <w:lang w:eastAsia="zh-CN"/>
              </w:rPr>
              <w:t>2026年</w:t>
            </w:r>
          </w:p>
          <w:p>
            <w:pPr>
              <w:ind w:right="-153"/>
              <w:jc w:val="center"/>
              <w:rPr>
                <w:rFonts w:ascii="宋体" w:hAnsi="宋体" w:eastAsia="宋体" w:cs="宋体"/>
                <w:b/>
                <w:color w:val="000000"/>
                <w:kern w:val="2"/>
                <w:sz w:val="21"/>
                <w:highlight w:val="none"/>
                <w:lang w:eastAsia="zh-CN"/>
              </w:rPr>
            </w:pPr>
            <w:r>
              <w:rPr>
                <w:rFonts w:hint="eastAsia" w:ascii="宋体" w:hAnsi="宋体" w:eastAsia="宋体" w:cs="宋体"/>
                <w:b/>
                <w:color w:val="000000"/>
                <w:kern w:val="2"/>
                <w:sz w:val="21"/>
                <w:highlight w:val="none"/>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883" w:type="dxa"/>
            <w:tcBorders>
              <w:tl2br w:val="nil"/>
              <w:tr2bl w:val="nil"/>
            </w:tcBorders>
            <w:vAlign w:val="center"/>
          </w:tcPr>
          <w:p>
            <w:pPr>
              <w:widowControl/>
              <w:jc w:val="center"/>
              <w:textAlignment w:val="center"/>
              <w:rPr>
                <w:rFonts w:ascii="宋体" w:hAnsi="宋体" w:eastAsia="宋体" w:cs="宋体"/>
                <w:kern w:val="2"/>
                <w:sz w:val="21"/>
                <w:szCs w:val="21"/>
                <w:highlight w:val="none"/>
                <w:lang w:eastAsia="zh-CN"/>
              </w:rPr>
            </w:pPr>
            <w:r>
              <w:rPr>
                <w:rFonts w:hint="eastAsia" w:ascii="Times New Roman" w:hAnsi="Times New Roman" w:eastAsia="等线"/>
                <w:color w:val="000000"/>
                <w:kern w:val="0"/>
                <w:sz w:val="21"/>
                <w:szCs w:val="21"/>
                <w:highlight w:val="none"/>
                <w:lang w:val="en-US" w:eastAsia="zh-CN" w:bidi="ar"/>
              </w:rPr>
              <w:t>3473.71</w:t>
            </w:r>
          </w:p>
        </w:tc>
        <w:tc>
          <w:tcPr>
            <w:tcW w:w="1660" w:type="dxa"/>
            <w:tcBorders>
              <w:tl2br w:val="nil"/>
              <w:tr2bl w:val="nil"/>
            </w:tcBorders>
            <w:vAlign w:val="center"/>
          </w:tcPr>
          <w:p>
            <w:pPr>
              <w:widowControl/>
              <w:jc w:val="center"/>
              <w:textAlignment w:val="center"/>
              <w:rPr>
                <w:rFonts w:ascii="宋体" w:hAnsi="宋体" w:eastAsia="宋体" w:cs="宋体"/>
                <w:kern w:val="2"/>
                <w:sz w:val="21"/>
                <w:szCs w:val="21"/>
                <w:highlight w:val="none"/>
                <w:lang w:eastAsia="zh-CN"/>
              </w:rPr>
            </w:pPr>
            <w:r>
              <w:rPr>
                <w:rFonts w:hint="eastAsia" w:ascii="Times New Roman" w:hAnsi="Times New Roman" w:eastAsia="等线"/>
                <w:color w:val="000000"/>
                <w:kern w:val="0"/>
                <w:sz w:val="21"/>
                <w:szCs w:val="21"/>
                <w:highlight w:val="none"/>
                <w:lang w:val="en-US" w:eastAsia="zh-CN" w:bidi="ar"/>
              </w:rPr>
              <w:t>1507.27</w:t>
            </w:r>
          </w:p>
        </w:tc>
        <w:tc>
          <w:tcPr>
            <w:tcW w:w="1660" w:type="dxa"/>
            <w:tcBorders>
              <w:tl2br w:val="nil"/>
              <w:tr2bl w:val="nil"/>
            </w:tcBorders>
            <w:vAlign w:val="center"/>
          </w:tcPr>
          <w:p>
            <w:pPr>
              <w:widowControl/>
              <w:jc w:val="center"/>
              <w:textAlignment w:val="center"/>
              <w:rPr>
                <w:rFonts w:ascii="宋体" w:hAnsi="宋体" w:eastAsia="宋体" w:cs="宋体"/>
                <w:kern w:val="2"/>
                <w:sz w:val="21"/>
                <w:szCs w:val="21"/>
                <w:highlight w:val="none"/>
                <w:lang w:eastAsia="zh-CN"/>
              </w:rPr>
            </w:pPr>
            <w:r>
              <w:rPr>
                <w:rFonts w:hint="eastAsia" w:ascii="Times New Roman" w:hAnsi="Times New Roman" w:eastAsia="等线"/>
                <w:color w:val="000000"/>
                <w:kern w:val="0"/>
                <w:sz w:val="21"/>
                <w:szCs w:val="21"/>
                <w:highlight w:val="none"/>
                <w:lang w:val="en-US" w:eastAsia="zh-CN" w:bidi="ar"/>
              </w:rPr>
              <w:t>1245.85</w:t>
            </w:r>
          </w:p>
        </w:tc>
        <w:tc>
          <w:tcPr>
            <w:tcW w:w="1657" w:type="dxa"/>
            <w:tcBorders>
              <w:tl2br w:val="nil"/>
              <w:tr2bl w:val="nil"/>
            </w:tcBorders>
            <w:vAlign w:val="center"/>
          </w:tcPr>
          <w:p>
            <w:pPr>
              <w:widowControl/>
              <w:jc w:val="center"/>
              <w:textAlignment w:val="center"/>
              <w:rPr>
                <w:rFonts w:ascii="宋体" w:hAnsi="宋体" w:eastAsia="宋体" w:cs="宋体"/>
                <w:kern w:val="2"/>
                <w:sz w:val="21"/>
                <w:szCs w:val="21"/>
                <w:highlight w:val="none"/>
                <w:lang w:eastAsia="zh-CN"/>
              </w:rPr>
            </w:pPr>
            <w:r>
              <w:rPr>
                <w:rFonts w:hint="eastAsia" w:ascii="Times New Roman" w:hAnsi="Times New Roman" w:eastAsia="等线"/>
                <w:color w:val="000000"/>
                <w:kern w:val="0"/>
                <w:sz w:val="21"/>
                <w:szCs w:val="21"/>
                <w:highlight w:val="none"/>
                <w:lang w:val="en-US" w:eastAsia="zh-CN" w:bidi="ar"/>
              </w:rPr>
              <w:t>602.39</w:t>
            </w:r>
          </w:p>
        </w:tc>
        <w:tc>
          <w:tcPr>
            <w:tcW w:w="1657" w:type="dxa"/>
            <w:tcBorders>
              <w:tl2br w:val="nil"/>
              <w:tr2bl w:val="nil"/>
            </w:tcBorders>
            <w:vAlign w:val="center"/>
          </w:tcPr>
          <w:p>
            <w:pPr>
              <w:widowControl/>
              <w:jc w:val="center"/>
              <w:textAlignment w:val="center"/>
              <w:rPr>
                <w:rFonts w:ascii="宋体" w:hAnsi="宋体" w:eastAsia="宋体" w:cs="宋体"/>
                <w:kern w:val="2"/>
                <w:sz w:val="21"/>
                <w:szCs w:val="21"/>
                <w:highlight w:val="none"/>
                <w:lang w:eastAsia="zh-CN"/>
              </w:rPr>
            </w:pPr>
            <w:r>
              <w:rPr>
                <w:rFonts w:hint="eastAsia" w:ascii="Times New Roman" w:hAnsi="Times New Roman" w:eastAsia="等线"/>
                <w:color w:val="000000"/>
                <w:kern w:val="0"/>
                <w:sz w:val="21"/>
                <w:szCs w:val="21"/>
                <w:highlight w:val="none"/>
                <w:lang w:val="en-US" w:eastAsia="zh-CN" w:bidi="ar"/>
              </w:rPr>
              <w:t>118.19</w:t>
            </w:r>
          </w:p>
        </w:tc>
      </w:tr>
    </w:tbl>
    <w:p>
      <w:pPr>
        <w:spacing w:line="360" w:lineRule="auto"/>
        <w:ind w:right="-153"/>
        <w:jc w:val="both"/>
        <w:rPr>
          <w:rFonts w:ascii="宋体" w:hAnsi="宋体" w:eastAsia="宋体" w:cs="宋体"/>
          <w:kern w:val="2"/>
          <w:sz w:val="18"/>
          <w:szCs w:val="18"/>
          <w:highlight w:val="none"/>
          <w:lang w:eastAsia="zh-CN"/>
        </w:rPr>
      </w:pPr>
      <w:bookmarkStart w:id="0" w:name="_Hlk3733039"/>
      <w:r>
        <w:rPr>
          <w:rFonts w:hint="eastAsia" w:ascii="宋体" w:hAnsi="宋体" w:eastAsia="宋体" w:cs="宋体"/>
          <w:kern w:val="2"/>
          <w:sz w:val="18"/>
          <w:szCs w:val="18"/>
          <w:highlight w:val="none"/>
          <w:lang w:eastAsia="zh-CN"/>
        </w:rPr>
        <w:t>注：1、上述预计结果并不代表本激励</w:t>
      </w:r>
      <w:bookmarkStart w:id="1" w:name="_GoBack"/>
      <w:bookmarkEnd w:id="1"/>
      <w:r>
        <w:rPr>
          <w:rFonts w:hint="eastAsia" w:ascii="宋体" w:hAnsi="宋体" w:eastAsia="宋体" w:cs="宋体"/>
          <w:kern w:val="2"/>
          <w:sz w:val="18"/>
          <w:szCs w:val="18"/>
          <w:highlight w:val="none"/>
          <w:lang w:eastAsia="zh-CN"/>
        </w:rPr>
        <w:t>计划最终的会计成本。实际会计成本除与实际授予日情况有关之外，还与实际生效和失效的限制性股票数量有关，同时提请股东注意可能产生的摊薄影响。</w:t>
      </w:r>
    </w:p>
    <w:p>
      <w:pPr>
        <w:spacing w:line="360" w:lineRule="auto"/>
        <w:ind w:right="-153" w:firstLine="360" w:firstLineChars="200"/>
        <w:jc w:val="both"/>
        <w:rPr>
          <w:rFonts w:ascii="宋体" w:hAnsi="宋体" w:eastAsia="宋体" w:cs="宋体"/>
          <w:kern w:val="2"/>
          <w:sz w:val="18"/>
          <w:szCs w:val="18"/>
          <w:highlight w:val="none"/>
          <w:lang w:eastAsia="zh-CN"/>
        </w:rPr>
      </w:pPr>
      <w:r>
        <w:rPr>
          <w:rFonts w:hint="eastAsia" w:ascii="宋体" w:hAnsi="宋体" w:eastAsia="宋体" w:cs="宋体"/>
          <w:kern w:val="2"/>
          <w:sz w:val="18"/>
          <w:szCs w:val="18"/>
          <w:highlight w:val="none"/>
          <w:lang w:eastAsia="zh-CN"/>
        </w:rPr>
        <w:t>2、实施本激励计划产生的激励成本对公司经营业绩的影响将以会计师事务所出具的年度审计报告为准。</w:t>
      </w:r>
      <w:bookmarkEnd w:id="0"/>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经初步预计，一方面，实施本激励计划产生的激励成本将对公司相关期间的经营业绩有所影响；另一方面，实施本激励计划能够有效激发激励对象的工作积极性和创造性，从而提高公司的经营效率，提升公司的内在价值。</w:t>
      </w:r>
    </w:p>
    <w:p>
      <w:pPr>
        <w:pStyle w:val="2"/>
        <w:spacing w:before="240" w:after="240" w:line="360" w:lineRule="auto"/>
        <w:ind w:left="0" w:firstLine="482" w:firstLineChars="200"/>
        <w:rPr>
          <w:highlight w:val="none"/>
          <w:lang w:eastAsia="zh-CN"/>
        </w:rPr>
      </w:pPr>
      <w:r>
        <w:rPr>
          <w:rFonts w:hint="eastAsia"/>
          <w:highlight w:val="none"/>
          <w:lang w:eastAsia="zh-CN"/>
        </w:rPr>
        <w:t>十一、</w:t>
      </w:r>
      <w:r>
        <w:rPr>
          <w:highlight w:val="none"/>
          <w:lang w:eastAsia="zh-CN"/>
        </w:rPr>
        <w:t>公司/激励对象的权利义务、争议或纠纷的解决机制</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（一）公司的权利与义务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1、公司具有对本激励计划的解释和执行权，并按本激励计划的有关规定对激励对象进行考核。</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2、公司承诺不为激励对象依本激励计划获取有关权益提供贷款以及其他任何形式的财务资助，包括为其贷款提供担保。</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3、公司应按有关规定及时履行本激励计划的申报、信息披露等义务。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归属期内，激励对象获授的限制性股票满足归属条件的，公司应当根据本激励计划及中国证监会、证券交易所、证券登记结算机构等有关机构的规定，积极配合激励对象办理限制性股票归属事项；因中国证监会、证券交易所、证券登记结算机构等有关机构导致激励对象未能按自身意愿完成限制性股票归属，并给激励对象造成损失的，公司不承担任何责任。</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5、法律、法规、规章、规范性文件和本激励计划规定的其他权利义务。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（二）激励对象的权利与义务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1、激励对象应当按公司（含子公司）所聘岗位的要求，勤勉尽责、恪守职业道德。</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2、激励对象参与本激励计划的资金来源为自筹资金。</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3、激励对象获授的限制性股票完成归属前不得转让、质押、抵押、担保、偿还债务等。</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4、激励对象参与本激励计划获得的利益，应按国家税收的有关规定缴纳个人所得税及其他税费。</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5、公司因信息披露文件存在虚假记载、误导性陈述或者重大遗漏，导致不符合授予权益或者行使权益安排的，激励对象已获授但尚未归属的限制性股票不得归属，并作废失效；激励对象获授的限制性股票已归属的，由董事会负责收回激励对象参与本激励计划所获得的全部利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6、法律、法规、规章、规范性文件和本激励计划规定的其他权利义务。</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（三）公司与激励对象之间相关争议或纠纷的解决机制</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公司与激励对象因执行本激励计划所发生的争议或者纠纷，双方应当协商解决。自相关争议或者纠纷发生之日起60日内，若双方未能协商解决的，双方均有权向公司住所地具有管辖权的人民法院提请诉讼解决</w:t>
      </w:r>
      <w:r>
        <w:rPr>
          <w:rFonts w:hint="eastAsia" w:asciiTheme="majorEastAsia" w:hAnsiTheme="majorEastAsia" w:eastAsiaTheme="majorEastAsia"/>
          <w:sz w:val="24"/>
          <w:szCs w:val="24"/>
          <w:highlight w:val="none"/>
          <w:lang w:eastAsia="zh-CN"/>
        </w:rPr>
        <w:t>。</w:t>
      </w:r>
    </w:p>
    <w:p>
      <w:pPr>
        <w:pStyle w:val="2"/>
        <w:spacing w:before="240" w:after="240" w:line="360" w:lineRule="auto"/>
        <w:ind w:left="0" w:firstLine="482" w:firstLineChars="200"/>
        <w:rPr>
          <w:highlight w:val="none"/>
          <w:lang w:eastAsia="zh-CN"/>
        </w:rPr>
      </w:pPr>
      <w:r>
        <w:rPr>
          <w:rFonts w:hint="eastAsia"/>
          <w:highlight w:val="none"/>
          <w:lang w:eastAsia="zh-CN"/>
        </w:rPr>
        <w:t>十二、本激励计划变更与终止、公司/激励对象情况发生变化的处理方式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（一）本激励计划变更与终止的程序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1、本激励计划的变更程序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（1）公司在股东大会审议本激励计划之前拟变更本激励计划的，须经董事会审议通过。</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（2）公司在股东大会审议通过本激励计划之后变更本激励计划的，应当由股东大会审议通过，且不得包括下列情形：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①导致提前归属的情形；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②降低授予价格的情形。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独立董事、监事会应当就变更后的方案是否有利于公司的持续发展，是否存在明显损害公司及全体股东利益的情形发表明确意见。律师事务所应当就变更后的方案是否符合《上市公司股权激励管理办法》等有关规定、是否存在明显损害公司及全体股东利益的情形发表明确意见。</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2、本激励计划的终止程序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eastAsia="zh-CN"/>
        </w:rPr>
        <w:t>1</w:t>
      </w:r>
      <w:r>
        <w:rPr>
          <w:rFonts w:asciiTheme="majorEastAsia" w:hAnsiTheme="majorEastAsia" w:eastAsiaTheme="majorEastAsia"/>
          <w:sz w:val="24"/>
          <w:szCs w:val="24"/>
          <w:highlight w:val="none"/>
          <w:lang w:eastAsia="zh-CN"/>
        </w:rPr>
        <w:t>）公司在股东大会审议本激励计划之前拟终止实施本激励计划的，须经董事会审议通过。</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eastAsia="zh-CN"/>
        </w:rPr>
        <w:t>2</w:t>
      </w:r>
      <w:r>
        <w:rPr>
          <w:rFonts w:asciiTheme="majorEastAsia" w:hAnsiTheme="majorEastAsia" w:eastAsiaTheme="majorEastAsia"/>
          <w:sz w:val="24"/>
          <w:szCs w:val="24"/>
          <w:highlight w:val="none"/>
          <w:lang w:eastAsia="zh-CN"/>
        </w:rPr>
        <w:t>）公司在股东大会审议通过本激励计划之后拟终止实施本激励计划的，须经股东大会审议通过。</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eastAsia="zh-CN"/>
        </w:rPr>
        <w:t>3</w:t>
      </w:r>
      <w:r>
        <w:rPr>
          <w:rFonts w:asciiTheme="majorEastAsia" w:hAnsiTheme="majorEastAsia" w:eastAsiaTheme="majorEastAsia"/>
          <w:sz w:val="24"/>
          <w:szCs w:val="24"/>
          <w:highlight w:val="none"/>
          <w:lang w:eastAsia="zh-CN"/>
        </w:rPr>
        <w:t>）律师事务所应当就公司终止实施本激励计划是否符合《</w:t>
      </w:r>
      <w:r>
        <w:rPr>
          <w:rFonts w:hint="eastAsia" w:asciiTheme="majorEastAsia" w:hAnsiTheme="majorEastAsia" w:eastAsiaTheme="majorEastAsia"/>
          <w:sz w:val="24"/>
          <w:szCs w:val="24"/>
          <w:highlight w:val="none"/>
          <w:lang w:eastAsia="zh-CN"/>
        </w:rPr>
        <w:t>上市公司股权激励</w:t>
      </w:r>
      <w:r>
        <w:rPr>
          <w:rFonts w:asciiTheme="majorEastAsia" w:hAnsiTheme="majorEastAsia" w:eastAsiaTheme="majorEastAsia"/>
          <w:sz w:val="24"/>
          <w:szCs w:val="24"/>
          <w:highlight w:val="none"/>
          <w:lang w:eastAsia="zh-CN"/>
        </w:rPr>
        <w:t>管理办法》等有关规定、是否存在明显损害公司及全体股东利益的情形发表明确意见。</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eastAsia="zh-CN"/>
        </w:rPr>
        <w:t>4</w:t>
      </w:r>
      <w:r>
        <w:rPr>
          <w:rFonts w:asciiTheme="majorEastAsia" w:hAnsiTheme="majorEastAsia" w:eastAsiaTheme="majorEastAsia"/>
          <w:sz w:val="24"/>
          <w:szCs w:val="24"/>
          <w:highlight w:val="none"/>
          <w:lang w:eastAsia="zh-CN"/>
        </w:rPr>
        <w:t>）股东大会或者董事会审议通过终止实施本激励计划，或者股东大会审议未通过本激励计划的，自有关决议公告之日起3个月内，不得再次审议股权激励计划。</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（二）公司/激励对象情况发生变化的处理方式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asciiTheme="majorEastAsia" w:hAnsiTheme="majorEastAsia" w:eastAsiaTheme="majorEastAsia"/>
          <w:sz w:val="24"/>
          <w:szCs w:val="24"/>
          <w:highlight w:val="none"/>
          <w:lang w:eastAsia="zh-CN"/>
        </w:rPr>
        <w:t>1、公司情况发生变化的处理方式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（1）公司出现下列情形之一的，本激励计划终止实施，所有激励对象已获授但尚未归属的限制性股票不得归属，并作废失效：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①最近一个会计年度财务会计报告被注册会计师出具否定意见或者无法表示意见的审计报告；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②最近一个会计年度财务报告内部控制被注册会计师出具否定意见或者无法表示意见的审计报告；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③上市后最近36个月内出现过未按法律法规、公司章程、公开承诺进行利润分配的情形；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④法律法规规定不得实行股权激励的；</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⑤中国证监会认定的其他需要终止激励计划的情形。</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（2）公司出现下列情形之一的，本激励计划正常实施：</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①公司控制权变更；</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②公司合并、分立。</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公司因信息披露文件存在虚假记载、误导性陈述或者重大遗漏，导致不符合授予权益或者行使权益安排的，激励对象已获授但尚未归属的限制性股票不得归属，并作废失效；激励对象获授的限制性股票已归属的，由董事会负责收回激励对象参与本激励计划所获得的全部利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2、激励对象情况发生变化的处理方式</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（1）职务变更</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①激励对象的职务发生变更，但仍在公司（含子公司）任职，且不存在过失、违法违纪等行为的，其已获授的限制性股票不作处理。</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②激励对象因过失、违法违纪等行为而导致职务变更的，其已获授但尚未归属的限制性股票不得归属，并作废失效；公司有权视情节严重性要求激励对象返还参与本激励计划所获得的全部利益。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③激励对象担任公司监事、独立董事或其他不能继续参与公司股权激励计划的职务的，其已获授且已归属的限制性股票不作处理；其已获授但尚未归属的限制性股票不得归属，并作废失效。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（2）离职（不含退休、丧失劳动能力而离职、身故）</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①激励对象离职，且不存在过失、违法违纪等行为的，其已获授且已归属的限制性股票不作处理；其已获授但尚未归属的限制性股票不得归属，并作废失效。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②激励对象因过失、违法违纪等行为而离职的，其已获授但尚未归属的限制性股票不得归属，并作废失效；公司有权视情节严重性要求激励对象返还参与本激励计划所获得的全部利益。</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（3）退休</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①激励对象退休，但接受公司（含子公司）返聘请求的，其已获授的限制性股票不作处理。</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②激励对象退休，若公司（含子公司）提出返聘请求而激励对象拒绝或者公司（含子公司）未提出返聘请求的，其已获授且已归属的限制性股票不作处理；其已获授但尚未归属的限制性股票不得归属，并作废失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（4）丧失劳动能力而离职</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①激励对象因工受伤丧失劳动能力而离职的，其已获授的限制性股票不作处理，且个人层面绩效考核不再纳入归属条件。</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②激励对象非因工受伤丧失劳动能力而离职的，其已获授且已归属的限制性股票不作处理；其已获授但尚未归属的限制性股票不得归属，并作废失效。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（5）身故</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①激励对象因工而身故的，其已获授的限制性股票不作处理，可由相应继承人继承，且个人层面绩效考核不再纳入归属条件。</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②激励对象非因工而身故的，其已获授且已归属的限制性股票不作处理；其已获授但尚未归属的限制性股票不得归属，并作废失效。</w:t>
      </w:r>
    </w:p>
    <w:p>
      <w:pPr>
        <w:spacing w:line="360" w:lineRule="auto"/>
        <w:ind w:firstLine="480" w:firstLineChars="200"/>
        <w:jc w:val="both"/>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（6）有关规定明确须由董事会决议通过的事项除外，其他事项可由董事长或其授权的适当人士代表董事会直接行使（包括但不限于具体情形的认定及相应的处理方式）。</w:t>
      </w:r>
    </w:p>
    <w:p>
      <w:pPr>
        <w:spacing w:line="360" w:lineRule="auto"/>
        <w:ind w:firstLine="480" w:firstLineChars="200"/>
        <w:jc w:val="both"/>
        <w:rPr>
          <w:rFonts w:asciiTheme="majorEastAsia" w:hAnsiTheme="majorEastAsia" w:eastAsiaTheme="majorEastAsia"/>
          <w:sz w:val="24"/>
          <w:szCs w:val="24"/>
          <w:highlight w:val="none"/>
          <w:lang w:eastAsia="zh-CN"/>
        </w:rPr>
      </w:pPr>
    </w:p>
    <w:p>
      <w:pPr>
        <w:spacing w:line="360" w:lineRule="auto"/>
        <w:ind w:firstLine="480" w:firstLineChars="200"/>
        <w:jc w:val="both"/>
        <w:rPr>
          <w:rFonts w:asciiTheme="majorEastAsia" w:hAnsiTheme="majorEastAsia" w:eastAsiaTheme="majorEastAsia"/>
          <w:sz w:val="24"/>
          <w:szCs w:val="24"/>
          <w:highlight w:val="none"/>
          <w:lang w:eastAsia="zh-CN"/>
        </w:rPr>
      </w:pPr>
    </w:p>
    <w:p>
      <w:pPr>
        <w:spacing w:line="360" w:lineRule="auto"/>
        <w:ind w:left="284" w:right="284"/>
        <w:jc w:val="right"/>
        <w:rPr>
          <w:rFonts w:asciiTheme="majorEastAsia" w:hAnsiTheme="majorEastAsia" w:eastAsiaTheme="majorEastAsia"/>
          <w:sz w:val="24"/>
          <w:szCs w:val="24"/>
          <w:highlight w:val="none"/>
          <w:lang w:eastAsia="zh-CN"/>
        </w:rPr>
      </w:pPr>
    </w:p>
    <w:p>
      <w:pPr>
        <w:spacing w:line="360" w:lineRule="auto"/>
        <w:ind w:left="283" w:right="283"/>
        <w:jc w:val="right"/>
        <w:rPr>
          <w:rFonts w:cs="宋体"/>
          <w:highlight w:val="none"/>
          <w:lang w:eastAsia="zh-CN"/>
        </w:rPr>
      </w:pPr>
      <w:r>
        <w:rPr>
          <w:rFonts w:hint="eastAsia" w:asciiTheme="majorEastAsia" w:hAnsiTheme="majorEastAsia" w:eastAsiaTheme="majorEastAsia"/>
          <w:sz w:val="24"/>
          <w:szCs w:val="24"/>
          <w:highlight w:val="none"/>
          <w:lang w:eastAsia="zh-CN"/>
        </w:rPr>
        <w:t>赛恩斯环保股份有限公司董事会</w:t>
      </w:r>
    </w:p>
    <w:p>
      <w:pPr>
        <w:spacing w:line="360" w:lineRule="auto"/>
        <w:ind w:left="283" w:right="283"/>
        <w:jc w:val="right"/>
        <w:rPr>
          <w:rFonts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eastAsia="zh-CN"/>
        </w:rPr>
        <w:t>2</w:t>
      </w:r>
      <w:r>
        <w:rPr>
          <w:rFonts w:asciiTheme="majorEastAsia" w:hAnsiTheme="majorEastAsia" w:eastAsiaTheme="majorEastAsia"/>
          <w:sz w:val="24"/>
          <w:szCs w:val="24"/>
          <w:highlight w:val="none"/>
          <w:lang w:eastAsia="zh-CN"/>
        </w:rPr>
        <w:t>023年</w:t>
      </w:r>
      <w:r>
        <w:rPr>
          <w:rFonts w:hint="eastAsia" w:asciiTheme="majorEastAsia" w:hAnsiTheme="majorEastAsia" w:eastAsiaTheme="majorEastAsia"/>
          <w:sz w:val="24"/>
          <w:szCs w:val="24"/>
          <w:highlight w:val="none"/>
          <w:lang w:eastAsia="zh-CN"/>
        </w:rPr>
        <w:t>3</w:t>
      </w:r>
      <w:r>
        <w:rPr>
          <w:rFonts w:asciiTheme="majorEastAsia" w:hAnsiTheme="majorEastAsia" w:eastAsiaTheme="majorEastAsia"/>
          <w:sz w:val="24"/>
          <w:szCs w:val="24"/>
          <w:highlight w:val="none"/>
          <w:lang w:eastAsia="zh-CN"/>
        </w:rPr>
        <w:t>月</w:t>
      </w:r>
      <w:r>
        <w:rPr>
          <w:rFonts w:hint="eastAsia" w:asciiTheme="majorEastAsia" w:hAnsiTheme="majorEastAsia" w:eastAsiaTheme="majorEastAsia"/>
          <w:sz w:val="24"/>
          <w:szCs w:val="24"/>
          <w:highlight w:val="none"/>
          <w:lang w:eastAsia="zh-CN"/>
        </w:rPr>
        <w:t>22</w:t>
      </w:r>
      <w:r>
        <w:rPr>
          <w:rFonts w:asciiTheme="majorEastAsia" w:hAnsiTheme="majorEastAsia" w:eastAsiaTheme="majorEastAsia"/>
          <w:sz w:val="24"/>
          <w:szCs w:val="24"/>
          <w:highlight w:val="none"/>
          <w:lang w:eastAsia="zh-CN"/>
        </w:rPr>
        <w:t>日</w:t>
      </w:r>
    </w:p>
    <w:sectPr>
      <w:footerReference r:id="rId3" w:type="default"/>
      <w:pgSz w:w="11910" w:h="16840"/>
      <w:pgMar w:top="1440" w:right="1803" w:bottom="1440" w:left="1803" w:header="0"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3683000</wp:posOffset>
              </wp:positionH>
              <wp:positionV relativeFrom="page">
                <wp:posOffset>9930765</wp:posOffset>
              </wp:positionV>
              <wp:extent cx="241935" cy="15557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41935" cy="155575"/>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pt;margin-top:781.95pt;height:12.25pt;width:19.05pt;mso-position-horizontal-relative:page;mso-position-vertical-relative:page;z-index:-251656192;mso-width-relative:page;mso-height-relative:page;" filled="f" stroked="f" coordsize="21600,21600" o:gfxdata="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r8312gAAAA0BAAAPAAAAAAAAAAEAIAAAACIAAABkcnMvZG93bnJl&#10;di54bWxQSwECFAAUAAAACACHTuJAxt61J/sBAAADBAAADgAAAAAAAAABACAAAAApAQAAZHJzL2Uy&#10;b0RvYy54bWxQSwUGAAAAAAYABgBZAQAAlgU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ZWU0ZmZkODU0YjIzNTVkNzYwYjhlMmYxMDkxMWMifQ=="/>
  </w:docVars>
  <w:rsids>
    <w:rsidRoot w:val="003F085C"/>
    <w:rsid w:val="00000F10"/>
    <w:rsid w:val="000134C7"/>
    <w:rsid w:val="000272BF"/>
    <w:rsid w:val="00076B37"/>
    <w:rsid w:val="000A12F8"/>
    <w:rsid w:val="000E4802"/>
    <w:rsid w:val="000F4EC5"/>
    <w:rsid w:val="00101A17"/>
    <w:rsid w:val="001034E8"/>
    <w:rsid w:val="00103B72"/>
    <w:rsid w:val="0012493F"/>
    <w:rsid w:val="00143296"/>
    <w:rsid w:val="0015397F"/>
    <w:rsid w:val="00163CE9"/>
    <w:rsid w:val="00183FB2"/>
    <w:rsid w:val="0019360E"/>
    <w:rsid w:val="001A7522"/>
    <w:rsid w:val="00203595"/>
    <w:rsid w:val="0020492E"/>
    <w:rsid w:val="00204DE3"/>
    <w:rsid w:val="00225CFC"/>
    <w:rsid w:val="002510CD"/>
    <w:rsid w:val="002755CF"/>
    <w:rsid w:val="00280C5F"/>
    <w:rsid w:val="00284673"/>
    <w:rsid w:val="00294559"/>
    <w:rsid w:val="002C5A71"/>
    <w:rsid w:val="002E7AFF"/>
    <w:rsid w:val="002E7C39"/>
    <w:rsid w:val="002F2255"/>
    <w:rsid w:val="002F573A"/>
    <w:rsid w:val="00300DF9"/>
    <w:rsid w:val="00305710"/>
    <w:rsid w:val="00311831"/>
    <w:rsid w:val="003128E4"/>
    <w:rsid w:val="0032153B"/>
    <w:rsid w:val="00344126"/>
    <w:rsid w:val="00354BB4"/>
    <w:rsid w:val="00364A63"/>
    <w:rsid w:val="003664CD"/>
    <w:rsid w:val="003958BD"/>
    <w:rsid w:val="0039712C"/>
    <w:rsid w:val="003A3B57"/>
    <w:rsid w:val="003B02D0"/>
    <w:rsid w:val="003B0799"/>
    <w:rsid w:val="003C6C78"/>
    <w:rsid w:val="003F085C"/>
    <w:rsid w:val="00405510"/>
    <w:rsid w:val="004161EE"/>
    <w:rsid w:val="00430D11"/>
    <w:rsid w:val="004355EC"/>
    <w:rsid w:val="00455073"/>
    <w:rsid w:val="004730E7"/>
    <w:rsid w:val="0048325F"/>
    <w:rsid w:val="00493378"/>
    <w:rsid w:val="004A2D19"/>
    <w:rsid w:val="004B06F0"/>
    <w:rsid w:val="004B24CB"/>
    <w:rsid w:val="004B7518"/>
    <w:rsid w:val="004B79C9"/>
    <w:rsid w:val="004D457E"/>
    <w:rsid w:val="004D7BCB"/>
    <w:rsid w:val="004E33EA"/>
    <w:rsid w:val="00506DE1"/>
    <w:rsid w:val="00511702"/>
    <w:rsid w:val="00512177"/>
    <w:rsid w:val="005308AB"/>
    <w:rsid w:val="00541F3D"/>
    <w:rsid w:val="0055359E"/>
    <w:rsid w:val="00561288"/>
    <w:rsid w:val="00585ACC"/>
    <w:rsid w:val="00594378"/>
    <w:rsid w:val="005A1642"/>
    <w:rsid w:val="005A3087"/>
    <w:rsid w:val="005A476A"/>
    <w:rsid w:val="005E5041"/>
    <w:rsid w:val="005E5BB1"/>
    <w:rsid w:val="00633B1E"/>
    <w:rsid w:val="00654CEF"/>
    <w:rsid w:val="00656697"/>
    <w:rsid w:val="00660EEF"/>
    <w:rsid w:val="00671639"/>
    <w:rsid w:val="006C7758"/>
    <w:rsid w:val="006D0D07"/>
    <w:rsid w:val="006D11F9"/>
    <w:rsid w:val="00700447"/>
    <w:rsid w:val="00704293"/>
    <w:rsid w:val="0071181F"/>
    <w:rsid w:val="00716918"/>
    <w:rsid w:val="00754C0F"/>
    <w:rsid w:val="007569AD"/>
    <w:rsid w:val="00773D09"/>
    <w:rsid w:val="00775CFD"/>
    <w:rsid w:val="007968E2"/>
    <w:rsid w:val="007B42EF"/>
    <w:rsid w:val="007C4EC4"/>
    <w:rsid w:val="007D1889"/>
    <w:rsid w:val="007E08D3"/>
    <w:rsid w:val="007F47A6"/>
    <w:rsid w:val="00800A81"/>
    <w:rsid w:val="00816919"/>
    <w:rsid w:val="0086020F"/>
    <w:rsid w:val="00862839"/>
    <w:rsid w:val="00864F21"/>
    <w:rsid w:val="008778D3"/>
    <w:rsid w:val="00900E48"/>
    <w:rsid w:val="00900EDC"/>
    <w:rsid w:val="00920F96"/>
    <w:rsid w:val="009573A7"/>
    <w:rsid w:val="00957872"/>
    <w:rsid w:val="009713E2"/>
    <w:rsid w:val="009A1AB8"/>
    <w:rsid w:val="009B4EED"/>
    <w:rsid w:val="009C0AD9"/>
    <w:rsid w:val="009C7829"/>
    <w:rsid w:val="009F32C8"/>
    <w:rsid w:val="00A11CCE"/>
    <w:rsid w:val="00A3036C"/>
    <w:rsid w:val="00A834A4"/>
    <w:rsid w:val="00A84465"/>
    <w:rsid w:val="00AB1A1D"/>
    <w:rsid w:val="00AC28B8"/>
    <w:rsid w:val="00AD74E8"/>
    <w:rsid w:val="00AE4C21"/>
    <w:rsid w:val="00AF11D7"/>
    <w:rsid w:val="00B01297"/>
    <w:rsid w:val="00B274C9"/>
    <w:rsid w:val="00B42C75"/>
    <w:rsid w:val="00B55431"/>
    <w:rsid w:val="00B612E5"/>
    <w:rsid w:val="00B63BD5"/>
    <w:rsid w:val="00B75262"/>
    <w:rsid w:val="00BA108B"/>
    <w:rsid w:val="00BA6BD9"/>
    <w:rsid w:val="00BB4D60"/>
    <w:rsid w:val="00C04EBF"/>
    <w:rsid w:val="00C06FA9"/>
    <w:rsid w:val="00C21557"/>
    <w:rsid w:val="00C75015"/>
    <w:rsid w:val="00C85C46"/>
    <w:rsid w:val="00C924C8"/>
    <w:rsid w:val="00C9777E"/>
    <w:rsid w:val="00CC603F"/>
    <w:rsid w:val="00CE3B33"/>
    <w:rsid w:val="00CE46E8"/>
    <w:rsid w:val="00CE4F05"/>
    <w:rsid w:val="00CF6737"/>
    <w:rsid w:val="00D132BA"/>
    <w:rsid w:val="00D71E81"/>
    <w:rsid w:val="00DA2184"/>
    <w:rsid w:val="00DC0E18"/>
    <w:rsid w:val="00DC7368"/>
    <w:rsid w:val="00DF68B2"/>
    <w:rsid w:val="00E3286C"/>
    <w:rsid w:val="00E644F0"/>
    <w:rsid w:val="00E672DE"/>
    <w:rsid w:val="00EC342A"/>
    <w:rsid w:val="00EC5FDF"/>
    <w:rsid w:val="00EE2B39"/>
    <w:rsid w:val="00EF57BD"/>
    <w:rsid w:val="00F02E36"/>
    <w:rsid w:val="00F50B73"/>
    <w:rsid w:val="00F54B4D"/>
    <w:rsid w:val="00F861C7"/>
    <w:rsid w:val="00F8744F"/>
    <w:rsid w:val="00F9751A"/>
    <w:rsid w:val="00FD2820"/>
    <w:rsid w:val="00FD52D0"/>
    <w:rsid w:val="00FF3BAF"/>
    <w:rsid w:val="00FF7574"/>
    <w:rsid w:val="04F2175E"/>
    <w:rsid w:val="0E612E49"/>
    <w:rsid w:val="13C96CEA"/>
    <w:rsid w:val="17D02B6E"/>
    <w:rsid w:val="18C57717"/>
    <w:rsid w:val="1A626DED"/>
    <w:rsid w:val="1C8B0004"/>
    <w:rsid w:val="1D941622"/>
    <w:rsid w:val="21BD0646"/>
    <w:rsid w:val="239E6C58"/>
    <w:rsid w:val="240D43A8"/>
    <w:rsid w:val="25E050E4"/>
    <w:rsid w:val="265946A9"/>
    <w:rsid w:val="2AF84B1D"/>
    <w:rsid w:val="2C960FA9"/>
    <w:rsid w:val="336B4D20"/>
    <w:rsid w:val="36930279"/>
    <w:rsid w:val="3C7322A4"/>
    <w:rsid w:val="3C884BE7"/>
    <w:rsid w:val="3DA71447"/>
    <w:rsid w:val="3F563989"/>
    <w:rsid w:val="404F2343"/>
    <w:rsid w:val="49BD5CC1"/>
    <w:rsid w:val="49D15148"/>
    <w:rsid w:val="4DF7795B"/>
    <w:rsid w:val="54B36C45"/>
    <w:rsid w:val="55C2390F"/>
    <w:rsid w:val="58663827"/>
    <w:rsid w:val="5B6053EE"/>
    <w:rsid w:val="5B85521C"/>
    <w:rsid w:val="5DFC48D0"/>
    <w:rsid w:val="609B3628"/>
    <w:rsid w:val="631775E8"/>
    <w:rsid w:val="64611231"/>
    <w:rsid w:val="65062E9A"/>
    <w:rsid w:val="68D55992"/>
    <w:rsid w:val="6AD3401E"/>
    <w:rsid w:val="6BEB12B2"/>
    <w:rsid w:val="71940305"/>
    <w:rsid w:val="73D56D08"/>
    <w:rsid w:val="75AD3AB1"/>
    <w:rsid w:val="7C0C3EB8"/>
    <w:rsid w:val="FF77C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spacing w:before="192"/>
      <w:ind w:left="600" w:firstLine="2"/>
      <w:outlineLvl w:val="0"/>
    </w:pPr>
    <w:rPr>
      <w:rFonts w:ascii="宋体" w:hAnsi="宋体" w:eastAsia="宋体"/>
      <w:b/>
      <w:bCs/>
      <w:sz w:val="24"/>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unhideWhenUsed/>
    <w:qFormat/>
    <w:uiPriority w:val="99"/>
  </w:style>
  <w:style w:type="paragraph" w:styleId="4">
    <w:name w:val="Body Text"/>
    <w:basedOn w:val="1"/>
    <w:qFormat/>
    <w:uiPriority w:val="1"/>
    <w:pPr>
      <w:ind w:left="120"/>
    </w:pPr>
    <w:rPr>
      <w:rFonts w:ascii="宋体" w:hAnsi="宋体" w:eastAsia="宋体"/>
      <w:sz w:val="24"/>
      <w:szCs w:val="24"/>
    </w:rPr>
  </w:style>
  <w:style w:type="paragraph" w:styleId="5">
    <w:name w:val="Balloon Text"/>
    <w:basedOn w:val="1"/>
    <w:link w:val="20"/>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3"/>
    <w:next w:val="3"/>
    <w:link w:val="19"/>
    <w:unhideWhenUsed/>
    <w:qFormat/>
    <w:uiPriority w:val="99"/>
    <w:rPr>
      <w:b/>
      <w:bCs/>
    </w:rPr>
  </w:style>
  <w:style w:type="character" w:styleId="12">
    <w:name w:val="annotation reference"/>
    <w:basedOn w:val="11"/>
    <w:unhideWhenUsed/>
    <w:qFormat/>
    <w:uiPriority w:val="99"/>
    <w:rPr>
      <w:sz w:val="21"/>
      <w:szCs w:val="21"/>
    </w:rPr>
  </w:style>
  <w:style w:type="table" w:customStyle="1" w:styleId="13">
    <w:name w:val="Table Normal1"/>
    <w:unhideWhenUsed/>
    <w:qFormat/>
    <w:uiPriority w:val="2"/>
    <w:tblPr>
      <w:tblCellMar>
        <w:top w:w="0" w:type="dxa"/>
        <w:left w:w="0" w:type="dxa"/>
        <w:bottom w:w="0" w:type="dxa"/>
        <w:right w:w="0" w:type="dxa"/>
      </w:tblCellMar>
    </w:tblPr>
  </w:style>
  <w:style w:type="paragraph" w:customStyle="1" w:styleId="14">
    <w:name w:val="列表段落1"/>
    <w:basedOn w:val="1"/>
    <w:qFormat/>
    <w:uiPriority w:val="1"/>
  </w:style>
  <w:style w:type="paragraph" w:customStyle="1" w:styleId="15">
    <w:name w:val="Table Paragraph"/>
    <w:basedOn w:val="1"/>
    <w:qFormat/>
    <w:uiPriority w:val="1"/>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批注文字 字符"/>
    <w:basedOn w:val="11"/>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1"/>
    <w:link w:val="5"/>
    <w:semiHidden/>
    <w:qFormat/>
    <w:uiPriority w:val="99"/>
    <w:rPr>
      <w:sz w:val="18"/>
      <w:szCs w:val="18"/>
    </w:rPr>
  </w:style>
  <w:style w:type="paragraph" w:styleId="21">
    <w:name w:val="List Paragraph"/>
    <w:basedOn w:val="1"/>
    <w:qFormat/>
    <w:uiPriority w:val="99"/>
    <w:pPr>
      <w:ind w:firstLine="420" w:firstLineChars="200"/>
    </w:pPr>
  </w:style>
  <w:style w:type="paragraph" w:customStyle="1" w:styleId="22">
    <w:name w:val="修订1"/>
    <w:hidden/>
    <w:semiHidden/>
    <w:qFormat/>
    <w:uiPriority w:val="99"/>
    <w:rPr>
      <w:rFonts w:asciiTheme="minorHAnsi" w:hAnsiTheme="minorHAnsi" w:eastAsiaTheme="minorEastAsia" w:cstheme="minorBidi"/>
      <w:sz w:val="22"/>
      <w:szCs w:val="22"/>
      <w:lang w:val="en-US" w:eastAsia="en-US" w:bidi="ar-SA"/>
    </w:rPr>
  </w:style>
  <w:style w:type="paragraph" w:customStyle="1" w:styleId="23">
    <w:name w:val="修订2"/>
    <w:hidden/>
    <w:semiHidden/>
    <w:qFormat/>
    <w:uiPriority w:val="99"/>
    <w:rPr>
      <w:rFonts w:asciiTheme="minorHAnsi" w:hAnsiTheme="minorHAnsi" w:eastAsiaTheme="minorEastAsia" w:cstheme="minorBidi"/>
      <w:sz w:val="22"/>
      <w:szCs w:val="22"/>
      <w:lang w:val="en-US" w:eastAsia="en-US" w:bidi="ar-SA"/>
    </w:rPr>
  </w:style>
  <w:style w:type="paragraph" w:customStyle="1" w:styleId="24">
    <w:name w:val="修订3"/>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12867</Words>
  <Characters>13494</Characters>
  <Lines>99</Lines>
  <Paragraphs>27</Paragraphs>
  <TotalTime>1</TotalTime>
  <ScaleCrop>false</ScaleCrop>
  <LinksUpToDate>false</LinksUpToDate>
  <CharactersWithSpaces>13494</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2023-03-17T08:58:00Z</dcterms:created>
  <dc:creator>邢维维</dc:creator>
  <cp:lastModifiedBy>mumu</cp:lastModifiedBy>
  <dcterms:modified xsi:type="dcterms:W3CDTF">2023-03-21T13:33:12Z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2052-11.1.0.12132</vt:lpwstr>
  </property>
  <property fmtid="{D5CDD505-2E9C-101B-9397-08002B2CF9AE}" pid="6" name="ICV">
    <vt:lpwstr>3F7168E2546E457687DF7BFE23B2F861</vt:lpwstr>
  </property>
</Properties>
</file>