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宋体" w:hAnsi="宋体" w:cs="宋体"/>
          <w:b/>
          <w:bCs/>
          <w:kern w:val="0"/>
          <w:sz w:val="24"/>
        </w:rPr>
      </w:pPr>
      <w:bookmarkStart w:id="3" w:name="_GoBack"/>
      <w:bookmarkEnd w:id="3"/>
      <w:bookmarkStart w:id="0" w:name="_Toc330904165"/>
      <w:bookmarkStart w:id="1" w:name="_Toc501975012"/>
      <w:bookmarkStart w:id="2" w:name="_Toc340839649"/>
      <w:r>
        <w:rPr>
          <w:rFonts w:hint="eastAsia" w:ascii="宋体" w:hAnsi="宋体" w:cs="宋体"/>
          <w:b/>
          <w:bCs/>
          <w:kern w:val="0"/>
          <w:sz w:val="24"/>
        </w:rPr>
        <w:t>证券代码：6</w:t>
      </w:r>
      <w:r>
        <w:rPr>
          <w:rFonts w:ascii="宋体" w:hAnsi="宋体" w:cs="宋体"/>
          <w:b/>
          <w:bCs/>
          <w:kern w:val="0"/>
          <w:sz w:val="24"/>
        </w:rPr>
        <w:t xml:space="preserve">88480          </w:t>
      </w:r>
      <w:r>
        <w:rPr>
          <w:rFonts w:hint="eastAsia" w:ascii="宋体" w:hAnsi="宋体" w:cs="宋体"/>
          <w:b/>
          <w:bCs/>
          <w:kern w:val="0"/>
          <w:sz w:val="24"/>
        </w:rPr>
        <w:t>证券简称：赛恩斯</w:t>
      </w:r>
      <w:r>
        <w:rPr>
          <w:rFonts w:ascii="宋体" w:hAnsi="宋体" w:cs="宋体"/>
          <w:b/>
          <w:bCs/>
          <w:kern w:val="0"/>
          <w:sz w:val="24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 w:val="24"/>
        </w:rPr>
        <w:t>公告编号：2</w:t>
      </w:r>
      <w:r>
        <w:rPr>
          <w:rFonts w:ascii="宋体" w:hAnsi="宋体" w:cs="宋体"/>
          <w:b/>
          <w:bCs/>
          <w:kern w:val="0"/>
          <w:sz w:val="24"/>
        </w:rPr>
        <w:t>023-008</w:t>
      </w:r>
    </w:p>
    <w:p>
      <w:pPr>
        <w:adjustRightInd w:val="0"/>
        <w:snapToGrid w:val="0"/>
        <w:spacing w:line="600" w:lineRule="exact"/>
        <w:rPr>
          <w:rFonts w:ascii="宋体" w:hAnsi="宋体" w:cs="宋体"/>
          <w:b/>
          <w:bCs/>
          <w:kern w:val="0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FF0000"/>
          <w:kern w:val="0"/>
          <w:sz w:val="36"/>
          <w:szCs w:val="36"/>
        </w:rPr>
        <w:t>赛恩斯环保</w:t>
      </w:r>
      <w:r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股份有限公司</w:t>
      </w:r>
    </w:p>
    <w:p>
      <w:pPr>
        <w:spacing w:line="360" w:lineRule="auto"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2022年度业绩快报公告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本公司董事会及全体董事保证本公告内容不存在任何虚假记载、误导性陈述或者重大遗漏，并对其内容的真实性、准确性和完整性依法承担法律责任。</w:t>
      </w:r>
    </w:p>
    <w:p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-WinCharSetFFFF-H"/>
          <w:kern w:val="0"/>
          <w:sz w:val="24"/>
        </w:rPr>
      </w:pPr>
      <w:r>
        <w:rPr>
          <w:rFonts w:hint="eastAsia" w:ascii="宋体" w:hAnsi="宋体" w:cs="宋体-WinCharSetFFFF-H"/>
          <w:kern w:val="0"/>
          <w:sz w:val="24"/>
        </w:rPr>
        <w:t>本公告所载</w:t>
      </w:r>
      <w:r>
        <w:rPr>
          <w:rFonts w:ascii="宋体" w:hAnsi="宋体" w:cs="宋体-WinCharSetFFFF-H"/>
          <w:kern w:val="0"/>
          <w:sz w:val="24"/>
        </w:rPr>
        <w:t>2022年度</w:t>
      </w:r>
      <w:r>
        <w:rPr>
          <w:rFonts w:hint="eastAsia" w:ascii="宋体" w:hAnsi="宋体" w:cs="宋体-WinCharSetFFFF-H"/>
          <w:kern w:val="0"/>
          <w:sz w:val="24"/>
        </w:rPr>
        <w:t>主要财务数据为初步核算数据，未经会计师事务所审计，具体数据以公司</w:t>
      </w:r>
      <w:r>
        <w:rPr>
          <w:rFonts w:ascii="宋体" w:hAnsi="宋体" w:cs="宋体-WinCharSetFFFF-H"/>
          <w:kern w:val="0"/>
          <w:sz w:val="24"/>
        </w:rPr>
        <w:t>2022年度</w:t>
      </w:r>
      <w:r>
        <w:rPr>
          <w:rFonts w:hint="eastAsia" w:ascii="宋体" w:hAnsi="宋体" w:cs="宋体-WinCharSetFFFF-H"/>
          <w:kern w:val="0"/>
          <w:sz w:val="24"/>
        </w:rPr>
        <w:t>的定期报告为准，提请投资者注意投资风险。</w:t>
      </w:r>
    </w:p>
    <w:p>
      <w:pPr>
        <w:spacing w:before="156" w:beforeLines="50" w:after="156" w:afterLines="50" w:line="360" w:lineRule="auto"/>
        <w:ind w:firstLine="482" w:firstLineChars="200"/>
        <w:outlineLvl w:val="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</w:t>
      </w:r>
      <w:r>
        <w:rPr>
          <w:rFonts w:ascii="宋体" w:hAnsi="宋体" w:cs="宋体"/>
          <w:b/>
          <w:color w:val="000000"/>
          <w:kern w:val="0"/>
          <w:sz w:val="24"/>
        </w:rPr>
        <w:t>2022年度主要财务数据和指标</w:t>
      </w:r>
    </w:p>
    <w:p>
      <w:pPr>
        <w:adjustRightInd w:val="0"/>
        <w:snapToGrid w:val="0"/>
        <w:spacing w:line="60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单位：万元</w:t>
      </w:r>
    </w:p>
    <w:tbl>
      <w:tblPr>
        <w:tblStyle w:val="12"/>
        <w:tblW w:w="8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765"/>
        <w:gridCol w:w="1921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本报告期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上年同期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ind w:left="265" w:hanging="265" w:hangingChars="11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增减变动幅度（％）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营业总收入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55,140.62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38,463.24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营业利润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7,873.26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5,332.85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利润总额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8,042.22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5,347.48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归属于母公司所有者的净利润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6,835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4,462.92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归属于母公司所有者的扣除非经常性损益的净利润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5,869.30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3,782.29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基本每股收益（元）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0.94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0.63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加权平均净资产收益率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14.19%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11.45%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增加2.74个百分点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本报告期末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本报告期初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增减变动幅度（％）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产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136,370.54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83,509.36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归属于母公司的所有者权益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87,988.93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41,415.98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本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9,482.67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7,112.00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归属于母公司所有者的每股净资产（元）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9.28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5.82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59.45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注：1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本报告期初数同法定披露的上年年末数。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以上财务数据和指标未经审计，最终结果以公司 2022 年年度报告为准。</w:t>
      </w:r>
    </w:p>
    <w:p>
      <w:pPr>
        <w:widowControl/>
        <w:spacing w:before="156" w:beforeLines="50" w:after="156" w:afterLines="50" w:line="360" w:lineRule="auto"/>
        <w:ind w:firstLine="482" w:firstLineChars="200"/>
        <w:outlineLvl w:val="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二、经营业绩和财务状况情况说明</w:t>
      </w:r>
    </w:p>
    <w:p>
      <w:pPr>
        <w:widowControl/>
        <w:spacing w:line="360" w:lineRule="auto"/>
        <w:ind w:firstLine="482" w:firstLineChars="200"/>
        <w:outlineLvl w:val="1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（一）报告期的经营情况、财务状况</w:t>
      </w:r>
      <w:r>
        <w:rPr>
          <w:rFonts w:ascii="宋体" w:hAnsi="宋体" w:cs="宋体"/>
          <w:b/>
          <w:color w:val="000000"/>
          <w:kern w:val="0"/>
          <w:sz w:val="24"/>
        </w:rPr>
        <w:t>及影响经营业绩的主要因素</w:t>
      </w:r>
    </w:p>
    <w:p>
      <w:pPr>
        <w:widowControl/>
        <w:spacing w:line="360" w:lineRule="auto"/>
        <w:ind w:firstLine="480" w:firstLineChars="200"/>
        <w:outlineLvl w:val="2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报告期的经营情况、财务状况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报告期内</w:t>
      </w:r>
      <w:r>
        <w:rPr>
          <w:rFonts w:ascii="宋体" w:hAnsi="宋体" w:cs="宋体"/>
          <w:color w:val="000000"/>
          <w:kern w:val="0"/>
          <w:sz w:val="24"/>
        </w:rPr>
        <w:t>公司实现营业收入55,140.62万元，同比增长43.36%；实现归属于母公司所有者的净利润 6,835</w:t>
      </w:r>
      <w:r>
        <w:rPr>
          <w:rFonts w:hint="eastAsia" w:ascii="宋体" w:hAnsi="宋体" w:cs="宋体"/>
          <w:color w:val="000000"/>
          <w:kern w:val="0"/>
          <w:sz w:val="24"/>
        </w:rPr>
        <w:t>.</w:t>
      </w:r>
      <w:r>
        <w:rPr>
          <w:rFonts w:ascii="宋体" w:hAnsi="宋体" w:cs="宋体"/>
          <w:color w:val="000000"/>
          <w:kern w:val="0"/>
          <w:sz w:val="24"/>
        </w:rPr>
        <w:t xml:space="preserve">30万元，同比增长53.16%；实现归属于母公司所有者的扣除非经常性损益的净利润5,869.30 万元，同比增长55.18%。 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报告期末，公司总资产136,370.54万元，较报告期初增长63.30%；归属于母公司的所有者权益87,988.93万元，较报告期初增长112.45%。</w:t>
      </w:r>
    </w:p>
    <w:p>
      <w:pPr>
        <w:widowControl/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2、</w:t>
      </w:r>
      <w:r>
        <w:rPr>
          <w:rFonts w:ascii="宋体" w:hAnsi="宋体" w:cs="宋体"/>
          <w:b/>
          <w:bCs/>
          <w:color w:val="000000"/>
          <w:kern w:val="0"/>
          <w:sz w:val="24"/>
        </w:rPr>
        <w:t>影响经营业绩的主要因素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报告期内，公司经营业绩大幅增长，主要影响因素：一是技术优势积累，公司</w:t>
      </w:r>
      <w:r>
        <w:rPr>
          <w:rFonts w:ascii="宋体" w:hAnsi="宋体" w:cs="宋体"/>
          <w:color w:val="000000"/>
          <w:kern w:val="0"/>
          <w:sz w:val="24"/>
        </w:rPr>
        <w:t>持续加强研发创新和</w:t>
      </w:r>
      <w:r>
        <w:rPr>
          <w:rFonts w:hint="eastAsia" w:ascii="宋体" w:hAnsi="宋体" w:cs="宋体"/>
          <w:color w:val="000000"/>
          <w:kern w:val="0"/>
          <w:sz w:val="24"/>
        </w:rPr>
        <w:t>技术推广</w:t>
      </w:r>
      <w:r>
        <w:rPr>
          <w:rFonts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在重金属治理方面的技术优势逐步显现，</w:t>
      </w:r>
      <w:r>
        <w:rPr>
          <w:rFonts w:ascii="宋体" w:hAnsi="宋体" w:cs="宋体"/>
          <w:color w:val="000000"/>
          <w:kern w:val="0"/>
          <w:sz w:val="24"/>
        </w:rPr>
        <w:t>为公司业绩的持续稳定增长提供了有效的保障</w:t>
      </w:r>
      <w:r>
        <w:rPr>
          <w:rFonts w:hint="eastAsia" w:ascii="宋体" w:hAnsi="宋体" w:cs="宋体"/>
          <w:color w:val="000000"/>
          <w:kern w:val="0"/>
          <w:sz w:val="24"/>
        </w:rPr>
        <w:t>；二是2022年3月生态环境部印发了《关于进一步加强重金属污染防控的意见》,</w:t>
      </w:r>
      <w:r>
        <w:rPr>
          <w:rFonts w:ascii="宋体" w:hAnsi="宋体" w:cs="宋体"/>
          <w:color w:val="000000"/>
          <w:kern w:val="0"/>
          <w:sz w:val="24"/>
        </w:rPr>
        <w:t>在政策</w:t>
      </w:r>
      <w:r>
        <w:rPr>
          <w:rFonts w:hint="eastAsia" w:ascii="宋体" w:hAnsi="宋体" w:cs="宋体"/>
          <w:color w:val="000000"/>
          <w:kern w:val="0"/>
          <w:sz w:val="24"/>
        </w:rPr>
        <w:t>环境</w:t>
      </w:r>
      <w:r>
        <w:rPr>
          <w:rFonts w:ascii="宋体" w:hAnsi="宋体" w:cs="宋体"/>
          <w:color w:val="000000"/>
          <w:kern w:val="0"/>
          <w:sz w:val="24"/>
        </w:rPr>
        <w:t>下</w:t>
      </w:r>
      <w:r>
        <w:rPr>
          <w:rFonts w:hint="eastAsia" w:ascii="宋体" w:hAnsi="宋体" w:cs="宋体"/>
          <w:color w:val="000000"/>
          <w:kern w:val="0"/>
          <w:sz w:val="24"/>
        </w:rPr>
        <w:t>市场需求增长。</w:t>
      </w:r>
    </w:p>
    <w:p>
      <w:pPr>
        <w:widowControl/>
        <w:spacing w:line="360" w:lineRule="auto"/>
        <w:ind w:firstLine="482" w:firstLineChars="200"/>
        <w:outlineLvl w:val="1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（二）主要财务数据及指标增减变动幅度达</w:t>
      </w:r>
      <w:r>
        <w:rPr>
          <w:rFonts w:ascii="宋体" w:hAnsi="宋体" w:cs="宋体"/>
          <w:b/>
          <w:color w:val="000000"/>
          <w:kern w:val="0"/>
          <w:sz w:val="24"/>
        </w:rPr>
        <w:t>30%以上的主要原因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报告期内营业收入较上年同期增长</w:t>
      </w:r>
      <w:r>
        <w:rPr>
          <w:rFonts w:hint="eastAsia"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/>
          <w:color w:val="000000"/>
          <w:kern w:val="0"/>
          <w:sz w:val="24"/>
        </w:rPr>
        <w:t>3.36%，主要系重金属</w:t>
      </w:r>
      <w:r>
        <w:rPr>
          <w:rFonts w:hint="eastAsia" w:ascii="宋体" w:hAnsi="宋体" w:cs="宋体"/>
          <w:color w:val="000000"/>
          <w:kern w:val="0"/>
          <w:sz w:val="24"/>
        </w:rPr>
        <w:t>污染治理细分市场</w:t>
      </w:r>
      <w:r>
        <w:rPr>
          <w:rFonts w:ascii="宋体" w:hAnsi="宋体" w:cs="宋体"/>
          <w:color w:val="000000"/>
          <w:kern w:val="0"/>
          <w:sz w:val="24"/>
        </w:rPr>
        <w:t>需求增长，</w:t>
      </w:r>
      <w:r>
        <w:rPr>
          <w:rFonts w:hint="eastAsia" w:ascii="宋体" w:hAnsi="宋体" w:cs="宋体"/>
          <w:color w:val="000000"/>
          <w:kern w:val="0"/>
          <w:sz w:val="24"/>
        </w:rPr>
        <w:t>以及</w:t>
      </w:r>
      <w:r>
        <w:rPr>
          <w:rFonts w:ascii="宋体" w:hAnsi="宋体" w:cs="宋体"/>
          <w:color w:val="000000"/>
          <w:kern w:val="0"/>
          <w:sz w:val="24"/>
        </w:rPr>
        <w:t>客户对公司重金属治理技术的认可度持续提升，新增订单稳步增长，为</w:t>
      </w:r>
      <w:r>
        <w:rPr>
          <w:rFonts w:hint="eastAsia" w:ascii="宋体" w:hAnsi="宋体" w:cs="宋体"/>
          <w:color w:val="000000"/>
          <w:kern w:val="0"/>
          <w:sz w:val="24"/>
        </w:rPr>
        <w:t>公司经营</w:t>
      </w:r>
      <w:r>
        <w:rPr>
          <w:rFonts w:ascii="宋体" w:hAnsi="宋体" w:cs="宋体"/>
          <w:color w:val="000000"/>
          <w:kern w:val="0"/>
          <w:sz w:val="24"/>
        </w:rPr>
        <w:t>业绩的持续增长提供了有力保障。在</w:t>
      </w:r>
      <w:r>
        <w:rPr>
          <w:rFonts w:hint="eastAsia" w:ascii="宋体" w:hAnsi="宋体" w:cs="宋体"/>
          <w:color w:val="000000"/>
          <w:kern w:val="0"/>
          <w:sz w:val="24"/>
        </w:rPr>
        <w:t>“三位一体”业务模式的驱动下，公司</w:t>
      </w:r>
      <w:r>
        <w:rPr>
          <w:rFonts w:ascii="宋体" w:hAnsi="宋体" w:cs="宋体"/>
          <w:color w:val="000000"/>
          <w:kern w:val="0"/>
          <w:sz w:val="24"/>
        </w:rPr>
        <w:t>重金属</w:t>
      </w:r>
      <w:r>
        <w:rPr>
          <w:rFonts w:hint="eastAsia" w:ascii="宋体" w:hAnsi="宋体" w:cs="宋体"/>
          <w:color w:val="000000"/>
          <w:kern w:val="0"/>
          <w:sz w:val="24"/>
        </w:rPr>
        <w:t>污染治理</w:t>
      </w:r>
      <w:r>
        <w:rPr>
          <w:rFonts w:ascii="宋体" w:hAnsi="宋体" w:cs="宋体"/>
          <w:color w:val="000000"/>
          <w:kern w:val="0"/>
          <w:sz w:val="24"/>
        </w:rPr>
        <w:t>综合解决方案</w:t>
      </w:r>
      <w:r>
        <w:rPr>
          <w:rFonts w:hint="eastAsia" w:ascii="宋体" w:hAnsi="宋体" w:cs="宋体"/>
          <w:color w:val="000000"/>
          <w:kern w:val="0"/>
          <w:sz w:val="24"/>
        </w:rPr>
        <w:t>业务与</w:t>
      </w:r>
      <w:r>
        <w:rPr>
          <w:rFonts w:ascii="宋体" w:hAnsi="宋体" w:cs="宋体"/>
          <w:color w:val="000000"/>
          <w:kern w:val="0"/>
          <w:sz w:val="24"/>
        </w:rPr>
        <w:t>运营服务</w:t>
      </w:r>
      <w:r>
        <w:rPr>
          <w:rFonts w:hint="eastAsia" w:ascii="宋体" w:hAnsi="宋体" w:cs="宋体"/>
          <w:color w:val="000000"/>
          <w:kern w:val="0"/>
          <w:sz w:val="24"/>
        </w:rPr>
        <w:t>业务的</w:t>
      </w:r>
      <w:r>
        <w:rPr>
          <w:rFonts w:ascii="宋体" w:hAnsi="宋体" w:cs="宋体"/>
          <w:color w:val="000000"/>
          <w:kern w:val="0"/>
          <w:sz w:val="24"/>
        </w:rPr>
        <w:t>营业收入较上年同期</w:t>
      </w:r>
      <w:r>
        <w:rPr>
          <w:rFonts w:hint="eastAsia" w:ascii="宋体" w:hAnsi="宋体" w:cs="宋体"/>
          <w:color w:val="000000"/>
          <w:kern w:val="0"/>
          <w:sz w:val="24"/>
        </w:rPr>
        <w:t>均有较大幅度的增长</w:t>
      </w:r>
      <w:r>
        <w:rPr>
          <w:rFonts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360" w:lineRule="auto"/>
        <w:ind w:firstLine="340" w:firstLineChars="142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2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报告期内营业利润、利润总额、</w:t>
      </w:r>
      <w:r>
        <w:rPr>
          <w:rFonts w:hint="eastAsia" w:ascii="宋体" w:hAnsi="宋体" w:cs="宋体"/>
          <w:color w:val="000000"/>
          <w:kern w:val="0"/>
          <w:sz w:val="24"/>
        </w:rPr>
        <w:t>归属于母公司所有者的净利润、归属于母公司所有者的扣除非经常性损益的净利润</w:t>
      </w:r>
      <w:r>
        <w:rPr>
          <w:rFonts w:ascii="宋体" w:hAnsi="宋体" w:cs="宋体"/>
          <w:color w:val="000000"/>
          <w:kern w:val="0"/>
          <w:sz w:val="24"/>
        </w:rPr>
        <w:t>较上年同期分别增长</w:t>
      </w:r>
      <w:r>
        <w:rPr>
          <w:rFonts w:hint="eastAsia"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/>
          <w:color w:val="000000"/>
          <w:kern w:val="0"/>
          <w:sz w:val="24"/>
        </w:rPr>
        <w:t>7.64%、</w:t>
      </w:r>
      <w:r>
        <w:rPr>
          <w:rFonts w:hint="eastAsia"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/>
          <w:color w:val="000000"/>
          <w:kern w:val="0"/>
          <w:sz w:val="24"/>
        </w:rPr>
        <w:t>0.39%、</w:t>
      </w:r>
      <w:r>
        <w:rPr>
          <w:rFonts w:hint="eastAsia"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/>
          <w:color w:val="000000"/>
          <w:kern w:val="0"/>
          <w:sz w:val="24"/>
        </w:rPr>
        <w:t>3.16%、</w:t>
      </w:r>
      <w:r>
        <w:rPr>
          <w:rFonts w:hint="eastAsia"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/>
          <w:color w:val="000000"/>
          <w:kern w:val="0"/>
          <w:sz w:val="24"/>
        </w:rPr>
        <w:t>5.18%，主要系公司营业收入规模增长所致。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2022年度基本每股收益同比增长49.21%，主要系公司报告期内净利润增长所致。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报告期末公司总资产、归属于母公司的所有者权益、归属于母公司所有者的每股净资产等指标相对报告期初增加，</w:t>
      </w:r>
      <w:r>
        <w:rPr>
          <w:rFonts w:hint="eastAsia" w:ascii="宋体" w:hAnsi="宋体" w:cs="宋体"/>
          <w:color w:val="000000"/>
          <w:kern w:val="0"/>
          <w:sz w:val="24"/>
        </w:rPr>
        <w:t>主要</w:t>
      </w:r>
      <w:r>
        <w:rPr>
          <w:rFonts w:ascii="宋体" w:hAnsi="宋体" w:cs="宋体"/>
          <w:color w:val="000000"/>
          <w:kern w:val="0"/>
          <w:sz w:val="24"/>
        </w:rPr>
        <w:t>原因为公司在报告期内于科创板上市，获得IPO 融资所致。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报告期末公司股本增加，原因为公司在报告期内于科创板上市，新增股本所致。</w:t>
      </w:r>
    </w:p>
    <w:p>
      <w:pPr>
        <w:widowControl/>
        <w:spacing w:before="156" w:beforeLines="50" w:after="156" w:afterLines="50" w:line="360" w:lineRule="auto"/>
        <w:ind w:firstLine="482" w:firstLineChars="200"/>
        <w:outlineLvl w:val="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三、风险提示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本公告所载公司2022年度主要财务数据和指标为初步核算数据，未经会计师事务所最终审定，可能与公司2022年年度报告中披露的数字存在差异，具体数据以公司正式披露的经审计后的2022年年度报告为准，敬请广大投资者注意投资风险。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特此公告。</w:t>
      </w:r>
    </w:p>
    <w:p>
      <w:pPr>
        <w:widowControl/>
        <w:spacing w:line="600" w:lineRule="exact"/>
        <w:ind w:firstLine="480" w:firstLineChars="20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赛恩斯环保</w:t>
      </w:r>
      <w:r>
        <w:rPr>
          <w:rFonts w:ascii="宋体" w:hAnsi="宋体" w:cs="宋体"/>
          <w:color w:val="000000"/>
          <w:kern w:val="0"/>
          <w:sz w:val="24"/>
        </w:rPr>
        <w:t>股份有限公司董事会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/>
          <w:color w:val="000000"/>
          <w:kern w:val="0"/>
          <w:sz w:val="24"/>
        </w:rPr>
        <w:t>023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4日</w:t>
      </w:r>
    </w:p>
    <w:bookmarkEnd w:id="0"/>
    <w:bookmarkEnd w:id="1"/>
    <w:bookmarkEnd w:id="2"/>
    <w:p>
      <w:pPr>
        <w:widowControl/>
        <w:spacing w:line="600" w:lineRule="exact"/>
        <w:ind w:firstLine="480" w:firstLineChars="200"/>
        <w:jc w:val="left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xNGI1MmUyMzVlMmI1NzJiYWM1MDQ1OGFhMjE2NDgifQ=="/>
  </w:docVars>
  <w:rsids>
    <w:rsidRoot w:val="00E0249D"/>
    <w:rsid w:val="00017271"/>
    <w:rsid w:val="00030419"/>
    <w:rsid w:val="00032161"/>
    <w:rsid w:val="00033060"/>
    <w:rsid w:val="00042D5C"/>
    <w:rsid w:val="00086B8E"/>
    <w:rsid w:val="000A4CFF"/>
    <w:rsid w:val="000B58CB"/>
    <w:rsid w:val="000D2329"/>
    <w:rsid w:val="000D7272"/>
    <w:rsid w:val="000E21CA"/>
    <w:rsid w:val="00145C04"/>
    <w:rsid w:val="001558FA"/>
    <w:rsid w:val="0016304D"/>
    <w:rsid w:val="00172A90"/>
    <w:rsid w:val="00177063"/>
    <w:rsid w:val="00177B72"/>
    <w:rsid w:val="0018035C"/>
    <w:rsid w:val="00186A39"/>
    <w:rsid w:val="001A103F"/>
    <w:rsid w:val="001A42A6"/>
    <w:rsid w:val="001B6708"/>
    <w:rsid w:val="001D3B32"/>
    <w:rsid w:val="001D5786"/>
    <w:rsid w:val="001D75FD"/>
    <w:rsid w:val="001E3DAD"/>
    <w:rsid w:val="001F4CCF"/>
    <w:rsid w:val="00212DC1"/>
    <w:rsid w:val="00215BC6"/>
    <w:rsid w:val="00222535"/>
    <w:rsid w:val="00224DC4"/>
    <w:rsid w:val="002304CE"/>
    <w:rsid w:val="00237701"/>
    <w:rsid w:val="002410A2"/>
    <w:rsid w:val="002637EE"/>
    <w:rsid w:val="00270C59"/>
    <w:rsid w:val="00274F4C"/>
    <w:rsid w:val="00291652"/>
    <w:rsid w:val="00296F1F"/>
    <w:rsid w:val="002B3012"/>
    <w:rsid w:val="002D28C9"/>
    <w:rsid w:val="002E283D"/>
    <w:rsid w:val="00326AC7"/>
    <w:rsid w:val="00346391"/>
    <w:rsid w:val="0035369F"/>
    <w:rsid w:val="00367C9B"/>
    <w:rsid w:val="00370CF2"/>
    <w:rsid w:val="0037514B"/>
    <w:rsid w:val="00385DC7"/>
    <w:rsid w:val="003B540A"/>
    <w:rsid w:val="003D2FFD"/>
    <w:rsid w:val="00434584"/>
    <w:rsid w:val="004362D4"/>
    <w:rsid w:val="004455A5"/>
    <w:rsid w:val="004558F3"/>
    <w:rsid w:val="0045699D"/>
    <w:rsid w:val="00457EF6"/>
    <w:rsid w:val="004715F5"/>
    <w:rsid w:val="004728F3"/>
    <w:rsid w:val="00493CD7"/>
    <w:rsid w:val="004A5BB2"/>
    <w:rsid w:val="004C64E9"/>
    <w:rsid w:val="004E2C63"/>
    <w:rsid w:val="004F4FC3"/>
    <w:rsid w:val="005306D2"/>
    <w:rsid w:val="0053654C"/>
    <w:rsid w:val="005814BA"/>
    <w:rsid w:val="005909C9"/>
    <w:rsid w:val="005A4CC2"/>
    <w:rsid w:val="005D2170"/>
    <w:rsid w:val="005E3577"/>
    <w:rsid w:val="005E7009"/>
    <w:rsid w:val="00600110"/>
    <w:rsid w:val="00600C2C"/>
    <w:rsid w:val="006014F9"/>
    <w:rsid w:val="00610EB2"/>
    <w:rsid w:val="00622478"/>
    <w:rsid w:val="0063407D"/>
    <w:rsid w:val="00647CE6"/>
    <w:rsid w:val="00652629"/>
    <w:rsid w:val="00666F33"/>
    <w:rsid w:val="006675D2"/>
    <w:rsid w:val="006816A6"/>
    <w:rsid w:val="00686979"/>
    <w:rsid w:val="00691C14"/>
    <w:rsid w:val="006A775F"/>
    <w:rsid w:val="006B6DC5"/>
    <w:rsid w:val="006B714F"/>
    <w:rsid w:val="006D6D83"/>
    <w:rsid w:val="006F256D"/>
    <w:rsid w:val="00707A5E"/>
    <w:rsid w:val="00712108"/>
    <w:rsid w:val="007333A1"/>
    <w:rsid w:val="007401AD"/>
    <w:rsid w:val="007403B5"/>
    <w:rsid w:val="0075003C"/>
    <w:rsid w:val="00761D51"/>
    <w:rsid w:val="00771552"/>
    <w:rsid w:val="00782966"/>
    <w:rsid w:val="007B3C2A"/>
    <w:rsid w:val="007C051B"/>
    <w:rsid w:val="007C4AF0"/>
    <w:rsid w:val="007C507B"/>
    <w:rsid w:val="007C6B5D"/>
    <w:rsid w:val="007D399D"/>
    <w:rsid w:val="007E1644"/>
    <w:rsid w:val="007E62A6"/>
    <w:rsid w:val="007F77FC"/>
    <w:rsid w:val="008063F0"/>
    <w:rsid w:val="00811F7B"/>
    <w:rsid w:val="00815641"/>
    <w:rsid w:val="00825C69"/>
    <w:rsid w:val="008309A3"/>
    <w:rsid w:val="008320EC"/>
    <w:rsid w:val="00836A70"/>
    <w:rsid w:val="008573C5"/>
    <w:rsid w:val="00874A75"/>
    <w:rsid w:val="00882BAA"/>
    <w:rsid w:val="008953E4"/>
    <w:rsid w:val="008A14DA"/>
    <w:rsid w:val="008A1DEC"/>
    <w:rsid w:val="008D12C4"/>
    <w:rsid w:val="008D3D22"/>
    <w:rsid w:val="008D68FF"/>
    <w:rsid w:val="008E5AF7"/>
    <w:rsid w:val="008E5D8D"/>
    <w:rsid w:val="009124C2"/>
    <w:rsid w:val="00913CF9"/>
    <w:rsid w:val="0091756C"/>
    <w:rsid w:val="00917EA3"/>
    <w:rsid w:val="0092559C"/>
    <w:rsid w:val="00947BE8"/>
    <w:rsid w:val="00950AEC"/>
    <w:rsid w:val="00956160"/>
    <w:rsid w:val="00956D3D"/>
    <w:rsid w:val="00966339"/>
    <w:rsid w:val="00973C2A"/>
    <w:rsid w:val="00975A7E"/>
    <w:rsid w:val="009A1AA6"/>
    <w:rsid w:val="009A3BC4"/>
    <w:rsid w:val="009A6E14"/>
    <w:rsid w:val="009B064B"/>
    <w:rsid w:val="009B1CE1"/>
    <w:rsid w:val="009D7F13"/>
    <w:rsid w:val="009F371B"/>
    <w:rsid w:val="009F4E23"/>
    <w:rsid w:val="00A15055"/>
    <w:rsid w:val="00A2448C"/>
    <w:rsid w:val="00A26FCB"/>
    <w:rsid w:val="00A425A2"/>
    <w:rsid w:val="00A47F25"/>
    <w:rsid w:val="00A77D68"/>
    <w:rsid w:val="00A77E4E"/>
    <w:rsid w:val="00A86C9C"/>
    <w:rsid w:val="00A90C87"/>
    <w:rsid w:val="00A95045"/>
    <w:rsid w:val="00AB2FB9"/>
    <w:rsid w:val="00AC5850"/>
    <w:rsid w:val="00AD1FC4"/>
    <w:rsid w:val="00AD3739"/>
    <w:rsid w:val="00AE1180"/>
    <w:rsid w:val="00AE1DD7"/>
    <w:rsid w:val="00B047CE"/>
    <w:rsid w:val="00B22B9F"/>
    <w:rsid w:val="00B273B1"/>
    <w:rsid w:val="00B36434"/>
    <w:rsid w:val="00B37F6E"/>
    <w:rsid w:val="00B64D0D"/>
    <w:rsid w:val="00BA3103"/>
    <w:rsid w:val="00BA46CF"/>
    <w:rsid w:val="00BB3639"/>
    <w:rsid w:val="00BB78FF"/>
    <w:rsid w:val="00BD303F"/>
    <w:rsid w:val="00BE3D79"/>
    <w:rsid w:val="00BF0C29"/>
    <w:rsid w:val="00BF60C5"/>
    <w:rsid w:val="00C20B45"/>
    <w:rsid w:val="00C32135"/>
    <w:rsid w:val="00C35363"/>
    <w:rsid w:val="00C4253B"/>
    <w:rsid w:val="00C44F2D"/>
    <w:rsid w:val="00C64DE1"/>
    <w:rsid w:val="00C82AAE"/>
    <w:rsid w:val="00C87670"/>
    <w:rsid w:val="00CC275E"/>
    <w:rsid w:val="00CD5635"/>
    <w:rsid w:val="00CE2143"/>
    <w:rsid w:val="00CE66F3"/>
    <w:rsid w:val="00D10630"/>
    <w:rsid w:val="00D24E2E"/>
    <w:rsid w:val="00D40C22"/>
    <w:rsid w:val="00D64667"/>
    <w:rsid w:val="00D92E16"/>
    <w:rsid w:val="00DB551A"/>
    <w:rsid w:val="00DD2067"/>
    <w:rsid w:val="00DF489E"/>
    <w:rsid w:val="00DF6A88"/>
    <w:rsid w:val="00E0249D"/>
    <w:rsid w:val="00E131C8"/>
    <w:rsid w:val="00E27ABA"/>
    <w:rsid w:val="00E3570B"/>
    <w:rsid w:val="00E516D0"/>
    <w:rsid w:val="00E547C4"/>
    <w:rsid w:val="00E60C3F"/>
    <w:rsid w:val="00E66D88"/>
    <w:rsid w:val="00EA25FF"/>
    <w:rsid w:val="00ED05B6"/>
    <w:rsid w:val="00F007BD"/>
    <w:rsid w:val="00F23D6D"/>
    <w:rsid w:val="00F30214"/>
    <w:rsid w:val="00F30F3D"/>
    <w:rsid w:val="00F3673B"/>
    <w:rsid w:val="00F3794D"/>
    <w:rsid w:val="00F52EFF"/>
    <w:rsid w:val="00F533A2"/>
    <w:rsid w:val="00F9286B"/>
    <w:rsid w:val="00FC19E7"/>
    <w:rsid w:val="00FD0954"/>
    <w:rsid w:val="2409473D"/>
    <w:rsid w:val="644C627D"/>
    <w:rsid w:val="6BFB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semiHidden/>
    <w:unhideWhenUsed/>
    <w:qFormat/>
    <w:uiPriority w:val="99"/>
    <w:rPr>
      <w:rFonts w:ascii="宋体"/>
      <w:sz w:val="18"/>
      <w:szCs w:val="18"/>
      <w:lang w:val="zh-CN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kern w:val="0"/>
      <w:sz w:val="20"/>
      <w:lang w:val="zh-CN"/>
    </w:rPr>
  </w:style>
  <w:style w:type="paragraph" w:styleId="5">
    <w:name w:val="Body Text Indent"/>
    <w:basedOn w:val="1"/>
    <w:link w:val="17"/>
    <w:unhideWhenUsed/>
    <w:qFormat/>
    <w:uiPriority w:val="0"/>
    <w:pPr>
      <w:spacing w:after="120"/>
      <w:ind w:left="420" w:leftChars="200"/>
    </w:pPr>
    <w:rPr>
      <w:kern w:val="0"/>
      <w:sz w:val="20"/>
      <w:lang w:val="zh-CN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  <w:rPr>
      <w:kern w:val="0"/>
      <w:sz w:val="20"/>
      <w:lang w:val="zh-CN"/>
    </w:rPr>
  </w:style>
  <w:style w:type="paragraph" w:styleId="7">
    <w:name w:val="Body Text Indent 2"/>
    <w:basedOn w:val="1"/>
    <w:link w:val="16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  <w:lang w:val="zh-CN"/>
    </w:rPr>
  </w:style>
  <w:style w:type="paragraph" w:styleId="8">
    <w:name w:val="Balloon Text"/>
    <w:basedOn w:val="1"/>
    <w:link w:val="20"/>
    <w:semiHidden/>
    <w:unhideWhenUsed/>
    <w:uiPriority w:val="99"/>
    <w:rPr>
      <w:kern w:val="0"/>
      <w:sz w:val="18"/>
      <w:szCs w:val="18"/>
      <w:lang w:val="zh-CN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1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正文文本缩进 2 字符"/>
    <w:link w:val="7"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17">
    <w:name w:val="正文文本缩进 字符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文字 字符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框文本 字符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日期 字符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5">
    <w:name w:val="列出段落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6">
    <w:name w:val="文档结构图 字符"/>
    <w:link w:val="3"/>
    <w:semiHidden/>
    <w:qFormat/>
    <w:uiPriority w:val="99"/>
    <w:rPr>
      <w:rFonts w:ascii="宋体" w:hAnsi="Times New Roman"/>
      <w:kern w:val="2"/>
      <w:sz w:val="18"/>
      <w:szCs w:val="18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046F1-6DE1-4396-9B42-9C7EF6443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1397</Words>
  <Characters>1727</Characters>
  <Lines>13</Lines>
  <Paragraphs>3</Paragraphs>
  <TotalTime>7</TotalTime>
  <ScaleCrop>false</ScaleCrop>
  <LinksUpToDate>false</LinksUpToDate>
  <CharactersWithSpaces>1758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2023-02-23T09:02:00Z</dcterms:created>
  <dc:creator>dsware</dc:creator>
  <cp:lastModifiedBy>14986</cp:lastModifiedBy>
  <dcterms:modified xsi:type="dcterms:W3CDTF">2023-02-23T09:11:06Z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35EDFCDBF0B948C2BD5E0337A3A17AFF</vt:lpwstr>
  </property>
</Properties>
</file>