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B212" w14:textId="77777777" w:rsidR="009F32C8" w:rsidRDefault="009F32C8">
      <w:pPr>
        <w:spacing w:before="6"/>
        <w:rPr>
          <w:rFonts w:ascii="Times New Roman" w:eastAsia="Times New Roman" w:hAnsi="Times New Roman" w:cs="Times New Roman"/>
          <w:b/>
          <w:bCs/>
          <w:sz w:val="6"/>
          <w:szCs w:val="6"/>
        </w:rPr>
      </w:pP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9F32C8" w14:paraId="5A73C5C8" w14:textId="77777777">
        <w:trPr>
          <w:trHeight w:hRule="exact" w:val="373"/>
        </w:trPr>
        <w:tc>
          <w:tcPr>
            <w:tcW w:w="2711" w:type="dxa"/>
            <w:tcBorders>
              <w:top w:val="nil"/>
              <w:left w:val="nil"/>
              <w:bottom w:val="nil"/>
              <w:right w:val="nil"/>
            </w:tcBorders>
          </w:tcPr>
          <w:p w14:paraId="326C3149" w14:textId="77777777" w:rsidR="009F32C8"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14:paraId="7BAB81B3" w14:textId="77777777" w:rsidR="009F32C8" w:rsidRDefault="00000000">
            <w:pPr>
              <w:pStyle w:val="TableParagraph"/>
              <w:spacing w:line="300" w:lineRule="exact"/>
              <w:ind w:left="560"/>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证券简称：</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14:paraId="7D9BBB77" w14:textId="628B6391" w:rsidR="009F32C8" w:rsidRDefault="00000000">
            <w:pPr>
              <w:pStyle w:val="TableParagraph"/>
              <w:spacing w:line="318" w:lineRule="exact"/>
              <w:rPr>
                <w:rFonts w:asciiTheme="majorEastAsia" w:eastAsiaTheme="majorEastAsia" w:hAnsiTheme="majorEastAsia" w:cs="Times New Roman"/>
                <w:b/>
                <w:bCs/>
                <w:sz w:val="24"/>
                <w:szCs w:val="24"/>
                <w:lang w:eastAsia="zh-CN"/>
              </w:rPr>
            </w:pPr>
            <w:r>
              <w:rPr>
                <w:rFonts w:asciiTheme="majorEastAsia" w:eastAsiaTheme="majorEastAsia" w:hAnsiTheme="majorEastAsia" w:cs="宋体"/>
                <w:b/>
                <w:bCs/>
                <w:sz w:val="24"/>
                <w:szCs w:val="24"/>
              </w:rPr>
              <w:t>公告编号：</w:t>
            </w:r>
            <w:r w:rsidR="00B63BD5">
              <w:rPr>
                <w:rFonts w:asciiTheme="majorEastAsia" w:eastAsiaTheme="majorEastAsia" w:hAnsiTheme="majorEastAsia" w:cs="Times New Roman"/>
                <w:b/>
                <w:bCs/>
                <w:sz w:val="24"/>
                <w:szCs w:val="24"/>
              </w:rPr>
              <w:t>202</w:t>
            </w:r>
            <w:r w:rsidR="00B63BD5">
              <w:rPr>
                <w:rFonts w:asciiTheme="majorEastAsia" w:eastAsiaTheme="majorEastAsia" w:hAnsiTheme="majorEastAsia" w:cs="Times New Roman"/>
                <w:b/>
                <w:bCs/>
                <w:sz w:val="24"/>
                <w:szCs w:val="24"/>
                <w:lang w:eastAsia="zh-CN"/>
              </w:rPr>
              <w:t>3</w:t>
            </w:r>
            <w:r>
              <w:rPr>
                <w:rFonts w:asciiTheme="majorEastAsia" w:eastAsiaTheme="majorEastAsia" w:hAnsiTheme="majorEastAsia" w:cs="Times New Roman"/>
                <w:b/>
                <w:bCs/>
                <w:sz w:val="24"/>
                <w:szCs w:val="24"/>
              </w:rPr>
              <w:t>-</w:t>
            </w:r>
            <w:r w:rsidR="00B63BD5">
              <w:rPr>
                <w:rFonts w:asciiTheme="majorEastAsia" w:eastAsiaTheme="majorEastAsia" w:hAnsiTheme="majorEastAsia" w:cs="Times New Roman"/>
                <w:b/>
                <w:bCs/>
                <w:sz w:val="24"/>
                <w:szCs w:val="24"/>
              </w:rPr>
              <w:t>003</w:t>
            </w:r>
          </w:p>
        </w:tc>
      </w:tr>
    </w:tbl>
    <w:p w14:paraId="267765BF" w14:textId="77777777" w:rsidR="009F32C8" w:rsidRDefault="009F32C8">
      <w:pPr>
        <w:rPr>
          <w:rFonts w:asciiTheme="majorEastAsia" w:eastAsiaTheme="majorEastAsia" w:hAnsiTheme="majorEastAsia" w:cs="Times New Roman"/>
          <w:sz w:val="20"/>
          <w:szCs w:val="20"/>
        </w:rPr>
      </w:pPr>
    </w:p>
    <w:p w14:paraId="4D870CEE" w14:textId="77777777" w:rsidR="009F32C8" w:rsidRDefault="009F32C8">
      <w:pPr>
        <w:spacing w:line="360" w:lineRule="auto"/>
        <w:jc w:val="center"/>
        <w:rPr>
          <w:rFonts w:ascii="宋体" w:eastAsia="宋体" w:hAnsi="宋体" w:cs="宋体"/>
          <w:b/>
          <w:bCs/>
          <w:color w:val="FF0000"/>
          <w:sz w:val="36"/>
          <w:szCs w:val="36"/>
          <w:lang w:eastAsia="zh-CN"/>
        </w:rPr>
      </w:pPr>
    </w:p>
    <w:p w14:paraId="5107D74F" w14:textId="77777777" w:rsidR="009F32C8" w:rsidRDefault="00000000">
      <w:pPr>
        <w:spacing w:line="360" w:lineRule="auto"/>
        <w:jc w:val="center"/>
        <w:rPr>
          <w:rFonts w:ascii="宋体" w:eastAsia="宋体" w:hAnsi="宋体" w:cs="宋体"/>
          <w:b/>
          <w:bCs/>
          <w:color w:val="FF0000"/>
          <w:w w:val="99"/>
          <w:sz w:val="36"/>
          <w:szCs w:val="36"/>
          <w:lang w:eastAsia="zh-CN"/>
        </w:rPr>
      </w:pPr>
      <w:r>
        <w:rPr>
          <w:rFonts w:ascii="宋体" w:eastAsia="宋体" w:hAnsi="宋体" w:cs="宋体" w:hint="eastAsia"/>
          <w:b/>
          <w:bCs/>
          <w:color w:val="FF0000"/>
          <w:sz w:val="36"/>
          <w:szCs w:val="36"/>
          <w:lang w:eastAsia="zh-CN"/>
        </w:rPr>
        <w:t>赛恩斯环保股份有限公司</w:t>
      </w:r>
    </w:p>
    <w:p w14:paraId="34DBCB2A" w14:textId="20A10108" w:rsidR="009F32C8"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第二届监事会</w:t>
      </w:r>
      <w:r w:rsidR="005A3087">
        <w:rPr>
          <w:rFonts w:ascii="宋体" w:eastAsia="宋体" w:hAnsi="宋体" w:cs="宋体" w:hint="eastAsia"/>
          <w:b/>
          <w:bCs/>
          <w:color w:val="FF0000"/>
          <w:sz w:val="36"/>
          <w:szCs w:val="36"/>
          <w:lang w:eastAsia="zh-CN"/>
        </w:rPr>
        <w:t>第十二</w:t>
      </w:r>
      <w:r>
        <w:rPr>
          <w:rFonts w:ascii="宋体" w:eastAsia="宋体" w:hAnsi="宋体" w:cs="宋体" w:hint="eastAsia"/>
          <w:b/>
          <w:bCs/>
          <w:color w:val="FF0000"/>
          <w:sz w:val="36"/>
          <w:szCs w:val="36"/>
          <w:lang w:eastAsia="zh-CN"/>
        </w:rPr>
        <w:t>次会议决议的公告</w:t>
      </w:r>
    </w:p>
    <w:p w14:paraId="6F0DDF73" w14:textId="77777777" w:rsidR="009F32C8" w:rsidRDefault="00000000">
      <w:pPr>
        <w:spacing w:line="360" w:lineRule="auto"/>
        <w:jc w:val="center"/>
        <w:rPr>
          <w:rFonts w:ascii="宋体" w:eastAsia="宋体" w:hAnsi="宋体" w:cs="宋体"/>
          <w:b/>
          <w:bCs/>
          <w:color w:val="FF0000"/>
          <w:sz w:val="36"/>
          <w:szCs w:val="36"/>
          <w:lang w:eastAsia="zh-CN"/>
        </w:rPr>
      </w:pPr>
      <w:r>
        <w:rPr>
          <w:rFonts w:ascii="黑体" w:eastAsia="黑体" w:hAnsi="黑体" w:cs="黑体"/>
          <w:noProof/>
          <w:position w:val="-19"/>
          <w:sz w:val="20"/>
          <w:szCs w:val="20"/>
          <w:lang w:eastAsia="zh-CN"/>
        </w:rPr>
        <mc:AlternateContent>
          <mc:Choice Requires="wps">
            <w:drawing>
              <wp:anchor distT="0" distB="0" distL="0" distR="0" simplePos="0" relativeHeight="251659264" behindDoc="0" locked="0" layoutInCell="1" allowOverlap="1" wp14:anchorId="6C6A1A29" wp14:editId="3D7A77B4">
                <wp:simplePos x="0" y="0"/>
                <wp:positionH relativeFrom="column">
                  <wp:posOffset>56515</wp:posOffset>
                </wp:positionH>
                <wp:positionV relativeFrom="paragraph">
                  <wp:posOffset>436245</wp:posOffset>
                </wp:positionV>
                <wp:extent cx="5270500" cy="639445"/>
                <wp:effectExtent l="4445" t="508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14:paraId="1758E78B" w14:textId="77777777" w:rsidR="009F32C8" w:rsidRPr="007C4EC4" w:rsidRDefault="00000000">
                            <w:pPr>
                              <w:spacing w:beforeLines="50" w:before="120" w:line="360" w:lineRule="auto"/>
                              <w:ind w:firstLineChars="200" w:firstLine="480"/>
                              <w:jc w:val="center"/>
                              <w:rPr>
                                <w:rFonts w:ascii="宋体" w:eastAsia="宋体" w:hAnsi="宋体" w:cs="Times New Roman"/>
                                <w:kern w:val="2"/>
                                <w:sz w:val="24"/>
                                <w:lang w:eastAsia="zh-CN"/>
                              </w:rPr>
                            </w:pPr>
                            <w:r w:rsidRPr="007C4EC4">
                              <w:rPr>
                                <w:rFonts w:ascii="宋体" w:eastAsia="宋体" w:hAnsi="宋体" w:cs="Times New Roman" w:hint="eastAsia"/>
                                <w:kern w:val="2"/>
                                <w:sz w:val="24"/>
                                <w:lang w:eastAsia="zh-CN"/>
                              </w:rPr>
                              <w:t>本公司监事会及全体监事保证本公告内容不存在任何虚假记载、误导性陈述或者重大遗漏，并对其内容的真实性、准确性和完整性依法承担法律责任。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type w14:anchorId="6C6A1A29" id="_x0000_t202" coordsize="21600,21600" o:spt="202" path="m,l,21600r21600,l21600,xe">
                <v:stroke joinstyle="miter"/>
                <v:path gradientshapeok="t" o:connecttype="rect"/>
              </v:shapetype>
              <v:shape id="Text Box 2" o:spid="_x0000_s1026" type="#_x0000_t202" style="position:absolute;left:0;text-align:left;margin-left:4.45pt;margin-top:34.35pt;width:415pt;height:50.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" filled="f" strokeweight=".48pt">
                <v:textbox inset="0,0,0,0">
                  <w:txbxContent>
                    <w:p w14:paraId="1758E78B" w14:textId="77777777" w:rsidR="009F32C8" w:rsidRPr="007C4EC4" w:rsidRDefault="00000000">
                      <w:pPr>
                        <w:spacing w:beforeLines="50" w:before="120" w:line="360" w:lineRule="auto"/>
                        <w:ind w:firstLineChars="200" w:firstLine="480"/>
                        <w:jc w:val="center"/>
                        <w:rPr>
                          <w:rFonts w:ascii="宋体" w:eastAsia="宋体" w:hAnsi="宋体" w:cs="Times New Roman"/>
                          <w:kern w:val="2"/>
                          <w:sz w:val="24"/>
                          <w:lang w:eastAsia="zh-CN"/>
                        </w:rPr>
                      </w:pPr>
                      <w:r w:rsidRPr="007C4EC4">
                        <w:rPr>
                          <w:rFonts w:ascii="宋体" w:eastAsia="宋体" w:hAnsi="宋体" w:cs="Times New Roman" w:hint="eastAsia"/>
                          <w:kern w:val="2"/>
                          <w:sz w:val="24"/>
                          <w:lang w:eastAsia="zh-CN"/>
                        </w:rPr>
                        <w:t>本公司监事会及全体监事保证本公告内容不存在任何虚假记载、误导性陈述或者重大遗漏，并对其内容的真实性、准确性和完整性依法承担法律责任。</w:t>
                      </w:r>
                    </w:p>
                  </w:txbxContent>
                </v:textbox>
              </v:shape>
            </w:pict>
          </mc:Fallback>
        </mc:AlternateContent>
      </w:r>
    </w:p>
    <w:p w14:paraId="02422CC7" w14:textId="77777777" w:rsidR="009F32C8" w:rsidRDefault="009F32C8">
      <w:pPr>
        <w:spacing w:line="360" w:lineRule="auto"/>
        <w:jc w:val="center"/>
        <w:rPr>
          <w:rFonts w:ascii="宋体" w:eastAsia="宋体" w:hAnsi="宋体" w:cs="宋体"/>
          <w:b/>
          <w:bCs/>
          <w:color w:val="FF0000"/>
          <w:sz w:val="36"/>
          <w:szCs w:val="36"/>
          <w:lang w:eastAsia="zh-CN"/>
        </w:rPr>
      </w:pPr>
    </w:p>
    <w:p w14:paraId="3FBC7448" w14:textId="77777777" w:rsidR="009F32C8" w:rsidRDefault="009F32C8">
      <w:pPr>
        <w:spacing w:before="7"/>
        <w:rPr>
          <w:rFonts w:ascii="黑体" w:eastAsia="黑体" w:hAnsi="黑体" w:cs="黑体"/>
          <w:b/>
          <w:bCs/>
          <w:sz w:val="13"/>
          <w:szCs w:val="13"/>
          <w:lang w:eastAsia="zh-CN"/>
        </w:rPr>
      </w:pPr>
    </w:p>
    <w:p w14:paraId="3BC5CB85" w14:textId="77777777" w:rsidR="009F32C8" w:rsidRDefault="009F32C8">
      <w:pPr>
        <w:spacing w:before="4"/>
        <w:rPr>
          <w:rFonts w:ascii="黑体" w:eastAsia="黑体" w:hAnsi="黑体" w:cs="黑体"/>
          <w:b/>
          <w:bCs/>
          <w:sz w:val="13"/>
          <w:szCs w:val="13"/>
          <w:lang w:eastAsia="zh-CN"/>
        </w:rPr>
      </w:pPr>
    </w:p>
    <w:p w14:paraId="3D66C03F" w14:textId="77777777" w:rsidR="009F32C8" w:rsidRDefault="00000000">
      <w:pPr>
        <w:pStyle w:val="1"/>
        <w:spacing w:before="240" w:after="240" w:line="360" w:lineRule="auto"/>
        <w:ind w:left="0" w:firstLineChars="200" w:firstLine="482"/>
        <w:rPr>
          <w:lang w:eastAsia="zh-CN"/>
        </w:rPr>
      </w:pPr>
      <w:r>
        <w:rPr>
          <w:rFonts w:hint="eastAsia"/>
          <w:lang w:eastAsia="zh-CN"/>
        </w:rPr>
        <w:t>一、监事会会议召开情况</w:t>
      </w:r>
    </w:p>
    <w:p w14:paraId="29EA118C" w14:textId="23189236"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赛恩斯环保</w:t>
      </w:r>
      <w:r>
        <w:rPr>
          <w:rFonts w:asciiTheme="majorEastAsia" w:eastAsiaTheme="majorEastAsia" w:hAnsiTheme="majorEastAsia"/>
          <w:sz w:val="24"/>
          <w:szCs w:val="24"/>
          <w:lang w:eastAsia="zh-CN"/>
        </w:rPr>
        <w:t>股份有限公司（以下简称“公司”或“</w:t>
      </w:r>
      <w:r>
        <w:rPr>
          <w:rFonts w:asciiTheme="majorEastAsia" w:eastAsiaTheme="majorEastAsia" w:hAnsiTheme="majorEastAsia" w:cs="Times New Roman" w:hint="eastAsia"/>
          <w:sz w:val="24"/>
          <w:szCs w:val="24"/>
          <w:lang w:eastAsia="zh-CN"/>
        </w:rPr>
        <w:t>赛恩斯</w:t>
      </w:r>
      <w:r>
        <w:rPr>
          <w:rFonts w:asciiTheme="majorEastAsia" w:eastAsiaTheme="majorEastAsia" w:hAnsiTheme="majorEastAsia"/>
          <w:sz w:val="24"/>
          <w:szCs w:val="24"/>
          <w:lang w:eastAsia="zh-CN"/>
        </w:rPr>
        <w:t>”）第</w:t>
      </w:r>
      <w:r>
        <w:rPr>
          <w:rFonts w:asciiTheme="majorEastAsia" w:eastAsiaTheme="majorEastAsia" w:hAnsiTheme="majorEastAsia" w:cs="Times New Roman" w:hint="eastAsia"/>
          <w:sz w:val="24"/>
          <w:szCs w:val="24"/>
          <w:lang w:eastAsia="zh-CN"/>
        </w:rPr>
        <w:t>二</w:t>
      </w:r>
      <w:r>
        <w:rPr>
          <w:rFonts w:asciiTheme="majorEastAsia" w:eastAsiaTheme="majorEastAsia" w:hAnsiTheme="majorEastAsia"/>
          <w:sz w:val="24"/>
          <w:szCs w:val="24"/>
          <w:lang w:eastAsia="zh-CN"/>
        </w:rPr>
        <w:t>届监事会</w:t>
      </w:r>
      <w:r w:rsidR="005A3087">
        <w:rPr>
          <w:rFonts w:asciiTheme="majorEastAsia" w:eastAsiaTheme="majorEastAsia" w:hAnsiTheme="majorEastAsia"/>
          <w:sz w:val="24"/>
          <w:szCs w:val="24"/>
          <w:lang w:eastAsia="zh-CN"/>
        </w:rPr>
        <w:t>第</w:t>
      </w:r>
      <w:r w:rsidR="005A3087">
        <w:rPr>
          <w:rFonts w:asciiTheme="majorEastAsia" w:eastAsiaTheme="majorEastAsia" w:hAnsiTheme="majorEastAsia" w:cs="Times New Roman" w:hint="eastAsia"/>
          <w:sz w:val="24"/>
          <w:szCs w:val="24"/>
          <w:lang w:eastAsia="zh-CN"/>
        </w:rPr>
        <w:t>十二</w:t>
      </w:r>
      <w:r>
        <w:rPr>
          <w:rFonts w:asciiTheme="majorEastAsia" w:eastAsiaTheme="majorEastAsia" w:hAnsiTheme="majorEastAsia"/>
          <w:sz w:val="24"/>
          <w:szCs w:val="24"/>
          <w:lang w:eastAsia="zh-CN"/>
        </w:rPr>
        <w:t>次会议</w:t>
      </w:r>
      <w:r>
        <w:rPr>
          <w:rFonts w:asciiTheme="majorEastAsia" w:eastAsiaTheme="majorEastAsia" w:hAnsiTheme="majorEastAsia" w:hint="eastAsia"/>
          <w:sz w:val="24"/>
          <w:szCs w:val="24"/>
          <w:lang w:eastAsia="zh-CN"/>
        </w:rPr>
        <w:t>于</w:t>
      </w:r>
      <w:r w:rsidR="00E3286C">
        <w:rPr>
          <w:rFonts w:asciiTheme="majorEastAsia" w:eastAsiaTheme="majorEastAsia" w:hAnsiTheme="majorEastAsia"/>
          <w:sz w:val="24"/>
          <w:szCs w:val="24"/>
          <w:lang w:eastAsia="zh-CN"/>
        </w:rPr>
        <w:t>2023</w:t>
      </w:r>
      <w:r>
        <w:rPr>
          <w:rFonts w:asciiTheme="majorEastAsia" w:eastAsiaTheme="majorEastAsia" w:hAnsiTheme="majorEastAsia"/>
          <w:sz w:val="24"/>
          <w:szCs w:val="24"/>
          <w:lang w:eastAsia="zh-CN"/>
        </w:rPr>
        <w:t>年</w:t>
      </w:r>
      <w:r w:rsidR="00E3286C">
        <w:rPr>
          <w:rFonts w:asciiTheme="majorEastAsia" w:eastAsiaTheme="majorEastAsia" w:hAnsiTheme="majorEastAsia" w:cs="Times New Roman"/>
          <w:sz w:val="24"/>
          <w:szCs w:val="24"/>
          <w:lang w:eastAsia="zh-CN"/>
        </w:rPr>
        <w:t>2</w:t>
      </w:r>
      <w:r>
        <w:rPr>
          <w:rFonts w:asciiTheme="majorEastAsia" w:eastAsiaTheme="majorEastAsia" w:hAnsiTheme="majorEastAsia"/>
          <w:sz w:val="24"/>
          <w:szCs w:val="24"/>
          <w:lang w:eastAsia="zh-CN"/>
        </w:rPr>
        <w:t>月</w:t>
      </w:r>
      <w:r w:rsidR="00E3286C">
        <w:rPr>
          <w:rFonts w:asciiTheme="majorEastAsia" w:eastAsiaTheme="majorEastAsia" w:hAnsiTheme="majorEastAsia" w:cs="Times New Roman"/>
          <w:sz w:val="24"/>
          <w:szCs w:val="24"/>
          <w:lang w:eastAsia="zh-CN"/>
        </w:rPr>
        <w:t>1</w:t>
      </w:r>
      <w:r>
        <w:rPr>
          <w:rFonts w:asciiTheme="majorEastAsia" w:eastAsiaTheme="majorEastAsia" w:hAnsiTheme="majorEastAsia"/>
          <w:sz w:val="24"/>
          <w:szCs w:val="24"/>
          <w:lang w:eastAsia="zh-CN"/>
        </w:rPr>
        <w:t>日</w:t>
      </w:r>
      <w:r>
        <w:rPr>
          <w:rFonts w:asciiTheme="majorEastAsia" w:eastAsiaTheme="majorEastAsia" w:hAnsiTheme="majorEastAsia" w:hint="eastAsia"/>
          <w:sz w:val="24"/>
          <w:szCs w:val="24"/>
          <w:lang w:eastAsia="zh-CN"/>
        </w:rPr>
        <w:t>以</w:t>
      </w:r>
      <w:r>
        <w:rPr>
          <w:rFonts w:hint="eastAsia"/>
          <w:sz w:val="24"/>
          <w:szCs w:val="24"/>
          <w:lang w:eastAsia="zh-CN"/>
        </w:rPr>
        <w:t>现场及通讯相结合的方式</w:t>
      </w:r>
      <w:r>
        <w:rPr>
          <w:rFonts w:asciiTheme="majorEastAsia" w:eastAsiaTheme="majorEastAsia" w:hAnsiTheme="majorEastAsia"/>
          <w:sz w:val="24"/>
          <w:szCs w:val="24"/>
          <w:lang w:eastAsia="zh-CN"/>
        </w:rPr>
        <w:t>召开，</w:t>
      </w:r>
      <w:r>
        <w:rPr>
          <w:rFonts w:asciiTheme="majorEastAsia" w:eastAsiaTheme="majorEastAsia" w:hAnsiTheme="majorEastAsia" w:hint="eastAsia"/>
          <w:sz w:val="24"/>
          <w:szCs w:val="24"/>
          <w:lang w:eastAsia="zh-CN"/>
        </w:rPr>
        <w:t>会议召开地点为公司会议室。本次会议通知于</w:t>
      </w:r>
      <w:r w:rsidR="00E3286C">
        <w:rPr>
          <w:rFonts w:asciiTheme="majorEastAsia" w:eastAsiaTheme="majorEastAsia" w:hAnsiTheme="majorEastAsia" w:hint="eastAsia"/>
          <w:sz w:val="24"/>
          <w:szCs w:val="24"/>
          <w:lang w:eastAsia="zh-CN"/>
        </w:rPr>
        <w:t>202</w:t>
      </w:r>
      <w:r w:rsidR="00E3286C">
        <w:rPr>
          <w:rFonts w:asciiTheme="majorEastAsia" w:eastAsiaTheme="majorEastAsia" w:hAnsiTheme="majorEastAsia"/>
          <w:sz w:val="24"/>
          <w:szCs w:val="24"/>
          <w:lang w:eastAsia="zh-CN"/>
        </w:rPr>
        <w:t>3</w:t>
      </w:r>
      <w:r w:rsidR="00E3286C">
        <w:rPr>
          <w:rFonts w:asciiTheme="majorEastAsia" w:eastAsiaTheme="majorEastAsia" w:hAnsiTheme="majorEastAsia" w:hint="eastAsia"/>
          <w:sz w:val="24"/>
          <w:szCs w:val="24"/>
          <w:lang w:eastAsia="zh-CN"/>
        </w:rPr>
        <w:t>年</w:t>
      </w:r>
      <w:r w:rsidR="00E3286C">
        <w:rPr>
          <w:rFonts w:asciiTheme="majorEastAsia" w:eastAsiaTheme="majorEastAsia" w:hAnsiTheme="majorEastAsia"/>
          <w:sz w:val="24"/>
          <w:szCs w:val="24"/>
          <w:lang w:eastAsia="zh-CN"/>
        </w:rPr>
        <w:t>1</w:t>
      </w:r>
      <w:r>
        <w:rPr>
          <w:rFonts w:asciiTheme="majorEastAsia" w:eastAsiaTheme="majorEastAsia" w:hAnsiTheme="majorEastAsia" w:hint="eastAsia"/>
          <w:sz w:val="24"/>
          <w:szCs w:val="24"/>
          <w:lang w:eastAsia="zh-CN"/>
        </w:rPr>
        <w:t>月</w:t>
      </w:r>
      <w:r w:rsidR="00E3286C">
        <w:rPr>
          <w:rFonts w:asciiTheme="majorEastAsia" w:eastAsiaTheme="majorEastAsia" w:hAnsiTheme="majorEastAsia"/>
          <w:sz w:val="24"/>
          <w:szCs w:val="24"/>
          <w:lang w:eastAsia="zh-CN"/>
        </w:rPr>
        <w:t>30</w:t>
      </w:r>
      <w:r>
        <w:rPr>
          <w:rFonts w:asciiTheme="majorEastAsia" w:eastAsiaTheme="majorEastAsia" w:hAnsiTheme="majorEastAsia" w:hint="eastAsia"/>
          <w:sz w:val="24"/>
          <w:szCs w:val="24"/>
          <w:lang w:eastAsia="zh-CN"/>
        </w:rPr>
        <w:t>日以直接送达、邮件等方式通知全体监事。会议由监事会主席姚晗女士主持。会议应到监事3人，实到监事3人。本次会议的召集和召开、表决方式、决议内容符合《中华人民共和国公司法》《上海证券交易所科创板股票上市规则》等相关法律法规、规范性文件及《公司章程》的相关规定，会议决议合法有效。</w:t>
      </w:r>
    </w:p>
    <w:p w14:paraId="13AFE77A" w14:textId="77777777" w:rsidR="009F32C8" w:rsidRDefault="00000000">
      <w:pPr>
        <w:pStyle w:val="1"/>
        <w:spacing w:before="240" w:after="240" w:line="360" w:lineRule="auto"/>
        <w:ind w:left="0" w:firstLineChars="200" w:firstLine="482"/>
        <w:rPr>
          <w:lang w:eastAsia="zh-CN"/>
        </w:rPr>
      </w:pPr>
      <w:r>
        <w:rPr>
          <w:lang w:eastAsia="zh-CN"/>
        </w:rPr>
        <w:t>二、监事会会议审议情况</w:t>
      </w:r>
    </w:p>
    <w:p w14:paraId="5E4FEEF6" w14:textId="77777777"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经全体监事表决，形成决议如下：</w:t>
      </w:r>
    </w:p>
    <w:p w14:paraId="3B8F43AF" w14:textId="474DB619"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（一）审议通过</w:t>
      </w:r>
      <w:r>
        <w:rPr>
          <w:rFonts w:asciiTheme="majorEastAsia" w:eastAsiaTheme="majorEastAsia" w:hAnsiTheme="majorEastAsia" w:hint="eastAsia"/>
          <w:sz w:val="24"/>
          <w:szCs w:val="24"/>
          <w:lang w:eastAsia="zh-CN"/>
        </w:rPr>
        <w:t>《</w:t>
      </w:r>
      <w:r w:rsidR="00AB1A1D" w:rsidRPr="00AB1A1D">
        <w:rPr>
          <w:rFonts w:asciiTheme="majorEastAsia" w:eastAsiaTheme="majorEastAsia" w:hAnsiTheme="majorEastAsia" w:hint="eastAsia"/>
          <w:sz w:val="24"/>
          <w:szCs w:val="24"/>
          <w:lang w:eastAsia="zh-CN"/>
        </w:rPr>
        <w:t>关于修订</w:t>
      </w:r>
      <w:r w:rsidR="00AB1A1D">
        <w:rPr>
          <w:rFonts w:asciiTheme="majorEastAsia" w:eastAsiaTheme="majorEastAsia" w:hAnsiTheme="majorEastAsia" w:hint="eastAsia"/>
          <w:sz w:val="24"/>
          <w:szCs w:val="24"/>
          <w:lang w:eastAsia="zh-CN"/>
        </w:rPr>
        <w:t>&lt;</w:t>
      </w:r>
      <w:r w:rsidR="00AB1A1D" w:rsidRPr="00AB1A1D">
        <w:rPr>
          <w:rFonts w:asciiTheme="majorEastAsia" w:eastAsiaTheme="majorEastAsia" w:hAnsiTheme="majorEastAsia" w:hint="eastAsia"/>
          <w:sz w:val="24"/>
          <w:szCs w:val="24"/>
          <w:lang w:eastAsia="zh-CN"/>
        </w:rPr>
        <w:t>公司章程</w:t>
      </w:r>
      <w:r w:rsidR="00AB1A1D">
        <w:rPr>
          <w:rFonts w:asciiTheme="majorEastAsia" w:eastAsiaTheme="majorEastAsia" w:hAnsiTheme="majorEastAsia" w:hint="eastAsia"/>
          <w:sz w:val="24"/>
          <w:szCs w:val="24"/>
          <w:lang w:eastAsia="zh-CN"/>
        </w:rPr>
        <w:t>&gt;</w:t>
      </w:r>
      <w:r w:rsidR="00AB1A1D" w:rsidRPr="00AB1A1D">
        <w:rPr>
          <w:rFonts w:asciiTheme="majorEastAsia" w:eastAsiaTheme="majorEastAsia" w:hAnsiTheme="majorEastAsia" w:hint="eastAsia"/>
          <w:sz w:val="24"/>
          <w:szCs w:val="24"/>
          <w:lang w:eastAsia="zh-CN"/>
        </w:rPr>
        <w:t>的议案</w:t>
      </w:r>
      <w:r>
        <w:rPr>
          <w:rFonts w:asciiTheme="majorEastAsia" w:eastAsiaTheme="majorEastAsia" w:hAnsiTheme="majorEastAsia" w:hint="eastAsia"/>
          <w:sz w:val="24"/>
          <w:szCs w:val="24"/>
          <w:lang w:eastAsia="zh-CN"/>
        </w:rPr>
        <w:t>》</w:t>
      </w:r>
    </w:p>
    <w:p w14:paraId="02247522" w14:textId="7D182FD5"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经审议，监事会认为</w:t>
      </w:r>
      <w:r w:rsidR="00AB1A1D" w:rsidRPr="00AB1A1D">
        <w:rPr>
          <w:rFonts w:asciiTheme="majorEastAsia" w:eastAsiaTheme="majorEastAsia" w:hAnsiTheme="majorEastAsia" w:hint="eastAsia"/>
          <w:sz w:val="24"/>
          <w:szCs w:val="24"/>
          <w:lang w:eastAsia="zh-CN"/>
        </w:rPr>
        <w:t>根据中国证券监督管理委员会于2022年1月5日颁布的《上市公司章程指引（2022年修订）》（证监会公告[2022]2号）、《公司法》的相关规定，对《公司章程》作出相关修订</w:t>
      </w:r>
      <w:r>
        <w:rPr>
          <w:rFonts w:asciiTheme="majorEastAsia" w:eastAsiaTheme="majorEastAsia" w:hAnsiTheme="majorEastAsia" w:hint="eastAsia"/>
          <w:sz w:val="24"/>
          <w:szCs w:val="24"/>
          <w:lang w:eastAsia="zh-CN"/>
        </w:rPr>
        <w:t>。综上，监事会同意</w:t>
      </w:r>
      <w:r w:rsidR="00AB1A1D">
        <w:rPr>
          <w:rFonts w:asciiTheme="majorEastAsia" w:eastAsiaTheme="majorEastAsia" w:hAnsiTheme="majorEastAsia" w:hint="eastAsia"/>
          <w:sz w:val="24"/>
          <w:szCs w:val="24"/>
          <w:lang w:eastAsia="zh-CN"/>
        </w:rPr>
        <w:t>此次章程修订</w:t>
      </w:r>
      <w:r>
        <w:rPr>
          <w:rFonts w:asciiTheme="majorEastAsia" w:eastAsiaTheme="majorEastAsia" w:hAnsiTheme="majorEastAsia" w:hint="eastAsia"/>
          <w:sz w:val="24"/>
          <w:szCs w:val="24"/>
          <w:lang w:eastAsia="zh-CN"/>
        </w:rPr>
        <w:t>。</w:t>
      </w:r>
    </w:p>
    <w:p w14:paraId="4BAE43B0" w14:textId="77777777"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表决结果：同意3票，反对0票，弃权0票。</w:t>
      </w:r>
    </w:p>
    <w:p w14:paraId="77678277" w14:textId="15FC4C41"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具体内容详见公司同日披露于上海证券交易所网站(www.sse.com.cn)的</w:t>
      </w:r>
      <w:r w:rsidR="00800A81">
        <w:rPr>
          <w:rFonts w:asciiTheme="majorEastAsia" w:eastAsiaTheme="majorEastAsia" w:hAnsiTheme="majorEastAsia" w:hint="eastAsia"/>
          <w:sz w:val="24"/>
          <w:szCs w:val="24"/>
          <w:lang w:eastAsia="zh-CN"/>
        </w:rPr>
        <w:t>《</w:t>
      </w:r>
      <w:r w:rsidR="00800A81" w:rsidRPr="00CB5731">
        <w:rPr>
          <w:rFonts w:asciiTheme="majorEastAsia" w:eastAsiaTheme="majorEastAsia" w:hAnsiTheme="majorEastAsia" w:hint="eastAsia"/>
          <w:sz w:val="24"/>
          <w:szCs w:val="24"/>
          <w:lang w:eastAsia="zh-CN"/>
        </w:rPr>
        <w:t>赛恩斯环保股份有限公司关于修订&lt;公司章程&gt;及部分管理制度的公告</w:t>
      </w:r>
      <w:r w:rsidR="00800A81">
        <w:rPr>
          <w:rFonts w:asciiTheme="majorEastAsia" w:eastAsiaTheme="majorEastAsia" w:hAnsiTheme="majorEastAsia" w:hint="eastAsia"/>
          <w:sz w:val="24"/>
          <w:szCs w:val="24"/>
          <w:lang w:eastAsia="zh-CN"/>
        </w:rPr>
        <w:t>》</w:t>
      </w:r>
      <w:r>
        <w:rPr>
          <w:rFonts w:asciiTheme="majorEastAsia" w:eastAsiaTheme="majorEastAsia" w:hAnsiTheme="majorEastAsia" w:hint="eastAsia"/>
          <w:sz w:val="24"/>
          <w:szCs w:val="24"/>
          <w:lang w:eastAsia="zh-CN"/>
        </w:rPr>
        <w:t>(公告</w:t>
      </w:r>
      <w:r>
        <w:rPr>
          <w:rFonts w:asciiTheme="majorEastAsia" w:eastAsiaTheme="majorEastAsia" w:hAnsiTheme="majorEastAsia" w:hint="eastAsia"/>
          <w:sz w:val="24"/>
          <w:szCs w:val="24"/>
          <w:lang w:eastAsia="zh-CN"/>
        </w:rPr>
        <w:lastRenderedPageBreak/>
        <w:t>编号：</w:t>
      </w:r>
      <w:r w:rsidR="0019360E">
        <w:rPr>
          <w:rFonts w:asciiTheme="majorEastAsia" w:eastAsiaTheme="majorEastAsia" w:hAnsiTheme="majorEastAsia" w:hint="eastAsia"/>
          <w:sz w:val="24"/>
          <w:szCs w:val="24"/>
          <w:lang w:eastAsia="zh-CN"/>
        </w:rPr>
        <w:t>202</w:t>
      </w:r>
      <w:r w:rsidR="0019360E">
        <w:rPr>
          <w:rFonts w:asciiTheme="majorEastAsia" w:eastAsiaTheme="majorEastAsia" w:hAnsiTheme="majorEastAsia"/>
          <w:sz w:val="24"/>
          <w:szCs w:val="24"/>
          <w:lang w:eastAsia="zh-CN"/>
        </w:rPr>
        <w:t>3</w:t>
      </w:r>
      <w:r>
        <w:rPr>
          <w:rFonts w:asciiTheme="majorEastAsia" w:eastAsiaTheme="majorEastAsia" w:hAnsiTheme="majorEastAsia" w:hint="eastAsia"/>
          <w:sz w:val="24"/>
          <w:szCs w:val="24"/>
          <w:lang w:eastAsia="zh-CN"/>
        </w:rPr>
        <w:t>-</w:t>
      </w:r>
      <w:r w:rsidR="00B63BD5">
        <w:rPr>
          <w:rFonts w:asciiTheme="majorEastAsia" w:eastAsiaTheme="majorEastAsia" w:hAnsiTheme="majorEastAsia" w:hint="eastAsia"/>
          <w:sz w:val="24"/>
          <w:szCs w:val="24"/>
          <w:lang w:eastAsia="zh-CN"/>
        </w:rPr>
        <w:t>00</w:t>
      </w:r>
      <w:r w:rsidR="00B63BD5">
        <w:rPr>
          <w:rFonts w:asciiTheme="majorEastAsia" w:eastAsiaTheme="majorEastAsia" w:hAnsiTheme="majorEastAsia"/>
          <w:sz w:val="24"/>
          <w:szCs w:val="24"/>
          <w:lang w:eastAsia="zh-CN"/>
        </w:rPr>
        <w:t>4</w:t>
      </w:r>
      <w:r>
        <w:rPr>
          <w:rFonts w:asciiTheme="majorEastAsia" w:eastAsiaTheme="majorEastAsia" w:hAnsiTheme="majorEastAsia" w:hint="eastAsia"/>
          <w:sz w:val="24"/>
          <w:szCs w:val="24"/>
          <w:lang w:eastAsia="zh-CN"/>
        </w:rPr>
        <w:t>)。</w:t>
      </w:r>
    </w:p>
    <w:p w14:paraId="590503AB" w14:textId="72823110"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（二）审议通过《</w:t>
      </w:r>
      <w:r w:rsidR="00E3286C" w:rsidRPr="00E3286C">
        <w:rPr>
          <w:rFonts w:asciiTheme="majorEastAsia" w:eastAsiaTheme="majorEastAsia" w:hAnsiTheme="majorEastAsia" w:hint="eastAsia"/>
          <w:sz w:val="24"/>
          <w:szCs w:val="24"/>
          <w:lang w:eastAsia="zh-CN"/>
        </w:rPr>
        <w:t>关于修订《监事</w:t>
      </w:r>
      <w:r w:rsidR="00A3036C">
        <w:rPr>
          <w:rFonts w:asciiTheme="majorEastAsia" w:eastAsiaTheme="majorEastAsia" w:hAnsiTheme="majorEastAsia" w:hint="eastAsia"/>
          <w:sz w:val="24"/>
          <w:szCs w:val="24"/>
          <w:lang w:eastAsia="zh-CN"/>
        </w:rPr>
        <w:t>会</w:t>
      </w:r>
      <w:r w:rsidR="00E3286C" w:rsidRPr="00E3286C">
        <w:rPr>
          <w:rFonts w:asciiTheme="majorEastAsia" w:eastAsiaTheme="majorEastAsia" w:hAnsiTheme="majorEastAsia" w:hint="eastAsia"/>
          <w:sz w:val="24"/>
          <w:szCs w:val="24"/>
          <w:lang w:eastAsia="zh-CN"/>
        </w:rPr>
        <w:t>议事规则》的议案</w:t>
      </w:r>
      <w:r>
        <w:rPr>
          <w:rFonts w:asciiTheme="majorEastAsia" w:eastAsiaTheme="majorEastAsia" w:hAnsiTheme="majorEastAsia" w:hint="eastAsia"/>
          <w:sz w:val="24"/>
          <w:szCs w:val="24"/>
          <w:lang w:eastAsia="zh-CN"/>
        </w:rPr>
        <w:t>》</w:t>
      </w:r>
    </w:p>
    <w:p w14:paraId="306A9B74" w14:textId="5E32D6A1"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监事会认为：</w:t>
      </w:r>
      <w:r w:rsidR="00E3286C" w:rsidRPr="00E3286C">
        <w:rPr>
          <w:rFonts w:asciiTheme="majorEastAsia" w:eastAsiaTheme="majorEastAsia" w:hAnsiTheme="majorEastAsia" w:hint="eastAsia"/>
          <w:sz w:val="24"/>
          <w:szCs w:val="24"/>
          <w:lang w:eastAsia="zh-CN"/>
        </w:rPr>
        <w:t>为进一步促进公司规范运作，维护公司及股东的合法权益，根据《中华人民共和国公司法》《中华人民共和国证券法》《上海证券交易所科创板上市公司自律监管指引第1号——规范运作》和《公司章程》的相关规定，结合公司实际情况，</w:t>
      </w:r>
      <w:r w:rsidR="00E3286C">
        <w:rPr>
          <w:rFonts w:asciiTheme="majorEastAsia" w:eastAsiaTheme="majorEastAsia" w:hAnsiTheme="majorEastAsia" w:hint="eastAsia"/>
          <w:sz w:val="24"/>
          <w:szCs w:val="24"/>
          <w:lang w:eastAsia="zh-CN"/>
        </w:rPr>
        <w:t>监事会同意</w:t>
      </w:r>
      <w:r w:rsidR="00E3286C" w:rsidRPr="00E3286C">
        <w:rPr>
          <w:rFonts w:asciiTheme="majorEastAsia" w:eastAsiaTheme="majorEastAsia" w:hAnsiTheme="majorEastAsia" w:hint="eastAsia"/>
          <w:sz w:val="24"/>
          <w:szCs w:val="24"/>
          <w:lang w:eastAsia="zh-CN"/>
        </w:rPr>
        <w:t>公司拟对《监事会议事规则》相关条款进行修订</w:t>
      </w:r>
      <w:r>
        <w:rPr>
          <w:rFonts w:asciiTheme="majorEastAsia" w:eastAsiaTheme="majorEastAsia" w:hAnsiTheme="majorEastAsia" w:hint="eastAsia"/>
          <w:sz w:val="24"/>
          <w:szCs w:val="24"/>
          <w:lang w:eastAsia="zh-CN"/>
        </w:rPr>
        <w:t>。</w:t>
      </w:r>
    </w:p>
    <w:p w14:paraId="04DA6CF0" w14:textId="77777777"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表决情况：同意3票，反对0票，弃权0票。</w:t>
      </w:r>
    </w:p>
    <w:p w14:paraId="4A91E4B7" w14:textId="68546F62"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本议案所述内容详见公司刊登在上海证券交易所网站(www.sse.com.cn)的《赛恩斯环保股份有限公司</w:t>
      </w:r>
      <w:r w:rsidR="00E3286C" w:rsidRPr="00E3286C">
        <w:rPr>
          <w:rFonts w:asciiTheme="majorEastAsia" w:eastAsiaTheme="majorEastAsia" w:hAnsiTheme="majorEastAsia" w:hint="eastAsia"/>
          <w:sz w:val="24"/>
          <w:szCs w:val="24"/>
          <w:lang w:eastAsia="zh-CN"/>
        </w:rPr>
        <w:t>监事议事规则</w:t>
      </w:r>
      <w:r>
        <w:rPr>
          <w:rFonts w:asciiTheme="majorEastAsia" w:eastAsiaTheme="majorEastAsia" w:hAnsiTheme="majorEastAsia" w:hint="eastAsia"/>
          <w:sz w:val="24"/>
          <w:szCs w:val="24"/>
          <w:lang w:eastAsia="zh-CN"/>
        </w:rPr>
        <w:t>》</w:t>
      </w:r>
    </w:p>
    <w:p w14:paraId="5A001CCA" w14:textId="0A41F2FF"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（三）审议通过《</w:t>
      </w:r>
      <w:r w:rsidR="00E3286C" w:rsidRPr="00E3286C">
        <w:rPr>
          <w:rFonts w:asciiTheme="majorEastAsia" w:eastAsiaTheme="majorEastAsia" w:hAnsiTheme="majorEastAsia" w:hint="eastAsia"/>
          <w:sz w:val="24"/>
          <w:szCs w:val="24"/>
          <w:lang w:eastAsia="zh-CN"/>
        </w:rPr>
        <w:t>关于增加使用闲置募集资金进行现金管理额度的议案</w:t>
      </w:r>
      <w:r>
        <w:rPr>
          <w:rFonts w:asciiTheme="majorEastAsia" w:eastAsiaTheme="majorEastAsia" w:hAnsiTheme="majorEastAsia" w:hint="eastAsia"/>
          <w:sz w:val="24"/>
          <w:szCs w:val="24"/>
          <w:lang w:eastAsia="zh-CN"/>
        </w:rPr>
        <w:t>》；</w:t>
      </w:r>
    </w:p>
    <w:p w14:paraId="781EE8D0" w14:textId="77777777" w:rsidR="00E3286C" w:rsidRPr="00E3286C" w:rsidRDefault="00000000" w:rsidP="00E3286C">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监事会认为：</w:t>
      </w:r>
    </w:p>
    <w:p w14:paraId="52EF1725" w14:textId="77777777" w:rsidR="00E3286C" w:rsidRPr="00E3286C" w:rsidRDefault="00E3286C" w:rsidP="00E3286C">
      <w:pPr>
        <w:spacing w:line="360" w:lineRule="auto"/>
        <w:ind w:firstLineChars="200" w:firstLine="480"/>
        <w:jc w:val="both"/>
        <w:rPr>
          <w:rFonts w:asciiTheme="majorEastAsia" w:eastAsiaTheme="majorEastAsia" w:hAnsiTheme="majorEastAsia"/>
          <w:sz w:val="24"/>
          <w:szCs w:val="24"/>
          <w:lang w:eastAsia="zh-CN"/>
        </w:rPr>
      </w:pPr>
      <w:r w:rsidRPr="00E3286C">
        <w:rPr>
          <w:rFonts w:asciiTheme="majorEastAsia" w:eastAsiaTheme="majorEastAsia" w:hAnsiTheme="majorEastAsia" w:hint="eastAsia"/>
          <w:sz w:val="24"/>
          <w:szCs w:val="24"/>
          <w:lang w:eastAsia="zh-CN"/>
        </w:rPr>
        <w:t>公司本次增加使用闲置募集资金进行现金管理额度，上述事项的内容及审议程序符合《上市公司监管指引第2号——上市公司募集资金管理和使用的监管要求》《上海证券交易所科创板上市公司自律监管指引第1号——规范运作》等相关法律法规、规章及其他规范性文件和公司《募集资金管理制度》的规定，且公司本次增加闲置募集资金进行现金管理没有与募集资金投资项目的建设内容相抵触，不影响募集资金投资项目的正常实施，不会影响公司募集资金的正常使用，不存在变相改变募集资金投向和损害公司股东利益特别是中小股东利益的情形，符合公司和全体股东的利益，有利于提高公司的资金使用效率，获取良好的投资回报。</w:t>
      </w:r>
    </w:p>
    <w:p w14:paraId="68B2942B" w14:textId="14743A4B" w:rsidR="00E3286C" w:rsidRPr="00E3286C" w:rsidRDefault="00E3286C" w:rsidP="00E3286C">
      <w:pPr>
        <w:spacing w:line="360" w:lineRule="auto"/>
        <w:ind w:firstLineChars="200" w:firstLine="480"/>
        <w:jc w:val="both"/>
        <w:rPr>
          <w:rFonts w:asciiTheme="majorEastAsia" w:eastAsiaTheme="majorEastAsia" w:hAnsiTheme="majorEastAsia"/>
          <w:sz w:val="24"/>
          <w:szCs w:val="24"/>
          <w:lang w:eastAsia="zh-CN"/>
        </w:rPr>
      </w:pPr>
      <w:r w:rsidRPr="00E3286C">
        <w:rPr>
          <w:rFonts w:asciiTheme="majorEastAsia" w:eastAsiaTheme="majorEastAsia" w:hAnsiTheme="majorEastAsia" w:hint="eastAsia"/>
          <w:sz w:val="24"/>
          <w:szCs w:val="24"/>
          <w:lang w:eastAsia="zh-CN"/>
        </w:rPr>
        <w:t>综上，监事会同意公司</w:t>
      </w:r>
      <w:r w:rsidR="00800A81">
        <w:rPr>
          <w:rFonts w:asciiTheme="majorEastAsia" w:eastAsiaTheme="majorEastAsia" w:hAnsiTheme="majorEastAsia" w:hint="eastAsia"/>
          <w:sz w:val="24"/>
          <w:szCs w:val="24"/>
          <w:lang w:eastAsia="zh-CN"/>
        </w:rPr>
        <w:t>及子公司</w:t>
      </w:r>
      <w:r w:rsidRPr="00E3286C">
        <w:rPr>
          <w:rFonts w:asciiTheme="majorEastAsia" w:eastAsiaTheme="majorEastAsia" w:hAnsiTheme="majorEastAsia" w:hint="eastAsia"/>
          <w:sz w:val="24"/>
          <w:szCs w:val="24"/>
          <w:lang w:eastAsia="zh-CN"/>
        </w:rPr>
        <w:t>增加使用闲置募集资金进行现金管理额度，使用不超过人民币3.5亿元</w:t>
      </w:r>
      <w:r w:rsidR="00000F10">
        <w:rPr>
          <w:rFonts w:asciiTheme="majorEastAsia" w:eastAsiaTheme="majorEastAsia" w:hAnsiTheme="majorEastAsia" w:hint="eastAsia"/>
          <w:sz w:val="24"/>
          <w:szCs w:val="24"/>
          <w:lang w:eastAsia="zh-CN"/>
        </w:rPr>
        <w:t>（含本数）</w:t>
      </w:r>
      <w:r w:rsidRPr="00E3286C">
        <w:rPr>
          <w:rFonts w:asciiTheme="majorEastAsia" w:eastAsiaTheme="majorEastAsia" w:hAnsiTheme="majorEastAsia" w:hint="eastAsia"/>
          <w:sz w:val="24"/>
          <w:szCs w:val="24"/>
          <w:lang w:eastAsia="zh-CN"/>
        </w:rPr>
        <w:t>的暂时闲置募集资金进行现金管理。</w:t>
      </w:r>
    </w:p>
    <w:p w14:paraId="079967A7" w14:textId="77777777"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表决结果：同意3票，反对0票，弃权0票。</w:t>
      </w:r>
    </w:p>
    <w:p w14:paraId="232A25E5" w14:textId="18FAC756" w:rsidR="009F32C8"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具体内容详见公司同日披露于上海证券交易所网站(www.sse.com.cn)的《赛恩斯环保股份有限公司</w:t>
      </w:r>
      <w:r w:rsidR="00E3286C" w:rsidRPr="00E3286C">
        <w:rPr>
          <w:rFonts w:asciiTheme="majorEastAsia" w:eastAsiaTheme="majorEastAsia" w:hAnsiTheme="majorEastAsia" w:hint="eastAsia"/>
          <w:sz w:val="24"/>
          <w:szCs w:val="24"/>
          <w:lang w:eastAsia="zh-CN"/>
        </w:rPr>
        <w:t>关于增加使用闲置募集资金进行现金管理额度的</w:t>
      </w:r>
      <w:r>
        <w:rPr>
          <w:rFonts w:asciiTheme="majorEastAsia" w:eastAsiaTheme="majorEastAsia" w:hAnsiTheme="majorEastAsia" w:hint="eastAsia"/>
          <w:sz w:val="24"/>
          <w:szCs w:val="24"/>
          <w:lang w:eastAsia="zh-CN"/>
        </w:rPr>
        <w:t>公告》(公告编号：</w:t>
      </w:r>
      <w:r w:rsidR="0019360E">
        <w:rPr>
          <w:rFonts w:asciiTheme="majorEastAsia" w:eastAsiaTheme="majorEastAsia" w:hAnsiTheme="majorEastAsia" w:hint="eastAsia"/>
          <w:sz w:val="24"/>
          <w:szCs w:val="24"/>
          <w:lang w:eastAsia="zh-CN"/>
        </w:rPr>
        <w:t>202</w:t>
      </w:r>
      <w:r w:rsidR="0019360E">
        <w:rPr>
          <w:rFonts w:asciiTheme="majorEastAsia" w:eastAsiaTheme="majorEastAsia" w:hAnsiTheme="majorEastAsia"/>
          <w:sz w:val="24"/>
          <w:szCs w:val="24"/>
          <w:lang w:eastAsia="zh-CN"/>
        </w:rPr>
        <w:t>3</w:t>
      </w:r>
      <w:r>
        <w:rPr>
          <w:rFonts w:asciiTheme="majorEastAsia" w:eastAsiaTheme="majorEastAsia" w:hAnsiTheme="majorEastAsia" w:hint="eastAsia"/>
          <w:sz w:val="24"/>
          <w:szCs w:val="24"/>
          <w:lang w:eastAsia="zh-CN"/>
        </w:rPr>
        <w:t>-</w:t>
      </w:r>
      <w:r w:rsidR="00E3286C">
        <w:rPr>
          <w:rFonts w:asciiTheme="majorEastAsia" w:eastAsiaTheme="majorEastAsia" w:hAnsiTheme="majorEastAsia" w:hint="eastAsia"/>
          <w:sz w:val="24"/>
          <w:szCs w:val="24"/>
          <w:lang w:eastAsia="zh-CN"/>
        </w:rPr>
        <w:t>00</w:t>
      </w:r>
      <w:r w:rsidR="00E3286C">
        <w:rPr>
          <w:rFonts w:asciiTheme="majorEastAsia" w:eastAsiaTheme="majorEastAsia" w:hAnsiTheme="majorEastAsia"/>
          <w:sz w:val="24"/>
          <w:szCs w:val="24"/>
          <w:lang w:eastAsia="zh-CN"/>
        </w:rPr>
        <w:t>5</w:t>
      </w:r>
      <w:r>
        <w:rPr>
          <w:rFonts w:asciiTheme="majorEastAsia" w:eastAsiaTheme="majorEastAsia" w:hAnsiTheme="majorEastAsia" w:hint="eastAsia"/>
          <w:sz w:val="24"/>
          <w:szCs w:val="24"/>
          <w:lang w:eastAsia="zh-CN"/>
        </w:rPr>
        <w:t>)。</w:t>
      </w:r>
    </w:p>
    <w:p w14:paraId="09D4CD06" w14:textId="77777777" w:rsidR="009F32C8" w:rsidRDefault="009F32C8">
      <w:pPr>
        <w:spacing w:line="360" w:lineRule="auto"/>
        <w:ind w:left="284" w:right="284"/>
        <w:jc w:val="right"/>
        <w:rPr>
          <w:rFonts w:asciiTheme="majorEastAsia" w:eastAsiaTheme="majorEastAsia" w:hAnsiTheme="majorEastAsia"/>
          <w:sz w:val="24"/>
          <w:szCs w:val="24"/>
          <w:lang w:eastAsia="zh-CN"/>
        </w:rPr>
      </w:pPr>
    </w:p>
    <w:p w14:paraId="43CA1E0B" w14:textId="77777777" w:rsidR="009F32C8" w:rsidRDefault="00000000">
      <w:pPr>
        <w:spacing w:line="360" w:lineRule="auto"/>
        <w:ind w:left="283" w:right="283"/>
        <w:jc w:val="right"/>
        <w:rPr>
          <w:rFonts w:cs="宋体"/>
          <w:lang w:eastAsia="zh-CN"/>
        </w:rPr>
      </w:pPr>
      <w:r>
        <w:rPr>
          <w:rFonts w:asciiTheme="majorEastAsia" w:eastAsiaTheme="majorEastAsia" w:hAnsiTheme="majorEastAsia" w:hint="eastAsia"/>
          <w:sz w:val="24"/>
          <w:szCs w:val="24"/>
          <w:lang w:eastAsia="zh-CN"/>
        </w:rPr>
        <w:t>赛恩斯环保股份有限公司监事会</w:t>
      </w:r>
    </w:p>
    <w:p w14:paraId="3BEF750C" w14:textId="1B7E2B7B" w:rsidR="009F32C8" w:rsidRPr="00305710" w:rsidRDefault="00000000">
      <w:pPr>
        <w:spacing w:line="360" w:lineRule="auto"/>
        <w:ind w:left="283" w:right="283"/>
        <w:jc w:val="right"/>
        <w:rPr>
          <w:rFonts w:asciiTheme="majorEastAsia" w:eastAsiaTheme="majorEastAsia" w:hAnsiTheme="majorEastAsia"/>
          <w:sz w:val="24"/>
          <w:szCs w:val="24"/>
          <w:lang w:eastAsia="zh-CN"/>
        </w:rPr>
      </w:pPr>
      <w:r w:rsidRPr="00305710">
        <w:rPr>
          <w:rFonts w:asciiTheme="majorEastAsia" w:eastAsiaTheme="majorEastAsia" w:hAnsiTheme="majorEastAsia" w:hint="eastAsia"/>
          <w:sz w:val="24"/>
          <w:szCs w:val="24"/>
          <w:lang w:eastAsia="zh-CN"/>
        </w:rPr>
        <w:t>2</w:t>
      </w:r>
      <w:r w:rsidRPr="00305710">
        <w:rPr>
          <w:rFonts w:asciiTheme="majorEastAsia" w:eastAsiaTheme="majorEastAsia" w:hAnsiTheme="majorEastAsia"/>
          <w:sz w:val="24"/>
          <w:szCs w:val="24"/>
          <w:lang w:eastAsia="zh-CN"/>
        </w:rPr>
        <w:t>02</w:t>
      </w:r>
      <w:r w:rsidR="00305710">
        <w:rPr>
          <w:rFonts w:asciiTheme="majorEastAsia" w:eastAsiaTheme="majorEastAsia" w:hAnsiTheme="majorEastAsia"/>
          <w:sz w:val="24"/>
          <w:szCs w:val="24"/>
          <w:lang w:eastAsia="zh-CN"/>
        </w:rPr>
        <w:t>3</w:t>
      </w:r>
      <w:r w:rsidRPr="00305710">
        <w:rPr>
          <w:rFonts w:asciiTheme="majorEastAsia" w:eastAsiaTheme="majorEastAsia" w:hAnsiTheme="majorEastAsia"/>
          <w:sz w:val="24"/>
          <w:szCs w:val="24"/>
          <w:lang w:eastAsia="zh-CN"/>
        </w:rPr>
        <w:t>年</w:t>
      </w:r>
      <w:r w:rsidR="00305710">
        <w:rPr>
          <w:rFonts w:asciiTheme="majorEastAsia" w:eastAsiaTheme="majorEastAsia" w:hAnsiTheme="majorEastAsia"/>
          <w:sz w:val="24"/>
          <w:szCs w:val="24"/>
          <w:lang w:eastAsia="zh-CN"/>
        </w:rPr>
        <w:t>2</w:t>
      </w:r>
      <w:r w:rsidRPr="00305710">
        <w:rPr>
          <w:rFonts w:asciiTheme="majorEastAsia" w:eastAsiaTheme="majorEastAsia" w:hAnsiTheme="majorEastAsia"/>
          <w:sz w:val="24"/>
          <w:szCs w:val="24"/>
          <w:lang w:eastAsia="zh-CN"/>
        </w:rPr>
        <w:t>月</w:t>
      </w:r>
      <w:r w:rsidR="000134C7">
        <w:rPr>
          <w:rFonts w:asciiTheme="majorEastAsia" w:eastAsiaTheme="majorEastAsia" w:hAnsiTheme="majorEastAsia"/>
          <w:sz w:val="24"/>
          <w:szCs w:val="24"/>
          <w:lang w:eastAsia="zh-CN"/>
        </w:rPr>
        <w:t>3</w:t>
      </w:r>
      <w:r w:rsidRPr="00305710">
        <w:rPr>
          <w:rFonts w:asciiTheme="majorEastAsia" w:eastAsiaTheme="majorEastAsia" w:hAnsiTheme="majorEastAsia"/>
          <w:sz w:val="24"/>
          <w:szCs w:val="24"/>
          <w:lang w:eastAsia="zh-CN"/>
        </w:rPr>
        <w:t>日</w:t>
      </w:r>
    </w:p>
    <w:sectPr w:rsidR="009F32C8" w:rsidRPr="00305710">
      <w:footerReference w:type="default" r:id="rId7"/>
      <w:pgSz w:w="11910" w:h="16840"/>
      <w:pgMar w:top="1440" w:right="1803" w:bottom="1440" w:left="1803"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68AD" w14:textId="77777777" w:rsidR="009B4EED" w:rsidRDefault="009B4EED">
      <w:r>
        <w:separator/>
      </w:r>
    </w:p>
  </w:endnote>
  <w:endnote w:type="continuationSeparator" w:id="0">
    <w:p w14:paraId="500D8B6F" w14:textId="77777777" w:rsidR="009B4EED" w:rsidRDefault="009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5184" w14:textId="77777777" w:rsidR="009F32C8" w:rsidRDefault="00000000">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14:anchorId="00A0A07E" wp14:editId="2D39A418">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14:paraId="3DB5DEB4" w14:textId="77777777" w:rsidR="009F32C8"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00A0A07E" id="_x0000_t202" coordsize="21600,21600" o:spt="202" path="m,l,21600r21600,l21600,xe">
              <v:stroke joinstyle="miter"/>
              <v:path gradientshapeok="t" o:connecttype="rect"/>
            </v:shapetype>
            <v:shape id="Text Box 1" o:spid="_x0000_s1027" type="#_x0000_t202" style="position:absolute;margin-left:290pt;margin-top:781.95pt;width:19.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" filled="f" stroked="f">
              <v:textbox inset="0,0,0,0">
                <w:txbxContent>
                  <w:p w14:paraId="3DB5DEB4" w14:textId="77777777" w:rsidR="009F32C8"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5961" w14:textId="77777777" w:rsidR="009B4EED" w:rsidRDefault="009B4EED">
      <w:r>
        <w:separator/>
      </w:r>
    </w:p>
  </w:footnote>
  <w:footnote w:type="continuationSeparator" w:id="0">
    <w:p w14:paraId="70D1849C" w14:textId="77777777" w:rsidR="009B4EED" w:rsidRDefault="009B4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zZWU0ZmZkODU0YjIzNTVkNzYwYjhlMmYxMDkxMWMifQ=="/>
  </w:docVars>
  <w:rsids>
    <w:rsidRoot w:val="003F085C"/>
    <w:rsid w:val="FF77C15C"/>
    <w:rsid w:val="00000F10"/>
    <w:rsid w:val="000134C7"/>
    <w:rsid w:val="000272BF"/>
    <w:rsid w:val="00076B37"/>
    <w:rsid w:val="000A12F8"/>
    <w:rsid w:val="000F4EC5"/>
    <w:rsid w:val="00101A17"/>
    <w:rsid w:val="001034E8"/>
    <w:rsid w:val="00103B72"/>
    <w:rsid w:val="0012493F"/>
    <w:rsid w:val="00143296"/>
    <w:rsid w:val="0015397F"/>
    <w:rsid w:val="00163CE9"/>
    <w:rsid w:val="00183FB2"/>
    <w:rsid w:val="0019360E"/>
    <w:rsid w:val="001A7522"/>
    <w:rsid w:val="00203595"/>
    <w:rsid w:val="0020492E"/>
    <w:rsid w:val="00204DE3"/>
    <w:rsid w:val="00225CFC"/>
    <w:rsid w:val="002510CD"/>
    <w:rsid w:val="002755CF"/>
    <w:rsid w:val="00280C5F"/>
    <w:rsid w:val="00284673"/>
    <w:rsid w:val="00294559"/>
    <w:rsid w:val="002C5A71"/>
    <w:rsid w:val="002E7AFF"/>
    <w:rsid w:val="002E7C39"/>
    <w:rsid w:val="002F2255"/>
    <w:rsid w:val="002F573A"/>
    <w:rsid w:val="00300DF9"/>
    <w:rsid w:val="00305710"/>
    <w:rsid w:val="00311831"/>
    <w:rsid w:val="003128E4"/>
    <w:rsid w:val="0032153B"/>
    <w:rsid w:val="00344126"/>
    <w:rsid w:val="00354BB4"/>
    <w:rsid w:val="00364A63"/>
    <w:rsid w:val="003664CD"/>
    <w:rsid w:val="003958BD"/>
    <w:rsid w:val="0039712C"/>
    <w:rsid w:val="003B02D0"/>
    <w:rsid w:val="003B0799"/>
    <w:rsid w:val="003C6C78"/>
    <w:rsid w:val="003F085C"/>
    <w:rsid w:val="00405510"/>
    <w:rsid w:val="004161EE"/>
    <w:rsid w:val="00430D11"/>
    <w:rsid w:val="004355EC"/>
    <w:rsid w:val="00455073"/>
    <w:rsid w:val="004730E7"/>
    <w:rsid w:val="0048325F"/>
    <w:rsid w:val="00493378"/>
    <w:rsid w:val="004A2D19"/>
    <w:rsid w:val="004B06F0"/>
    <w:rsid w:val="004B24CB"/>
    <w:rsid w:val="004B79C9"/>
    <w:rsid w:val="004D457E"/>
    <w:rsid w:val="004E33EA"/>
    <w:rsid w:val="00506DE1"/>
    <w:rsid w:val="00511702"/>
    <w:rsid w:val="00512177"/>
    <w:rsid w:val="005308AB"/>
    <w:rsid w:val="00541F3D"/>
    <w:rsid w:val="0055359E"/>
    <w:rsid w:val="00561288"/>
    <w:rsid w:val="00585ACC"/>
    <w:rsid w:val="00594378"/>
    <w:rsid w:val="005A1642"/>
    <w:rsid w:val="005A3087"/>
    <w:rsid w:val="005A476A"/>
    <w:rsid w:val="005E5041"/>
    <w:rsid w:val="005E5BB1"/>
    <w:rsid w:val="00633B1E"/>
    <w:rsid w:val="00654CEF"/>
    <w:rsid w:val="00656697"/>
    <w:rsid w:val="00660EEF"/>
    <w:rsid w:val="00671639"/>
    <w:rsid w:val="006C7758"/>
    <w:rsid w:val="006D0D07"/>
    <w:rsid w:val="006D11F9"/>
    <w:rsid w:val="00700447"/>
    <w:rsid w:val="00704293"/>
    <w:rsid w:val="0071181F"/>
    <w:rsid w:val="00716918"/>
    <w:rsid w:val="00754C0F"/>
    <w:rsid w:val="007569AD"/>
    <w:rsid w:val="00773D09"/>
    <w:rsid w:val="00775CFD"/>
    <w:rsid w:val="007968E2"/>
    <w:rsid w:val="007B42EF"/>
    <w:rsid w:val="007C4EC4"/>
    <w:rsid w:val="007D1889"/>
    <w:rsid w:val="007E08D3"/>
    <w:rsid w:val="00800A81"/>
    <w:rsid w:val="00816919"/>
    <w:rsid w:val="0086020F"/>
    <w:rsid w:val="00862839"/>
    <w:rsid w:val="008778D3"/>
    <w:rsid w:val="00900E48"/>
    <w:rsid w:val="00900EDC"/>
    <w:rsid w:val="00920F96"/>
    <w:rsid w:val="009573A7"/>
    <w:rsid w:val="00957872"/>
    <w:rsid w:val="009713E2"/>
    <w:rsid w:val="009A1AB8"/>
    <w:rsid w:val="009B4EED"/>
    <w:rsid w:val="009C0AD9"/>
    <w:rsid w:val="009C7829"/>
    <w:rsid w:val="009F32C8"/>
    <w:rsid w:val="00A11CCE"/>
    <w:rsid w:val="00A3036C"/>
    <w:rsid w:val="00A834A4"/>
    <w:rsid w:val="00A84465"/>
    <w:rsid w:val="00AB1A1D"/>
    <w:rsid w:val="00AC28B8"/>
    <w:rsid w:val="00AD74E8"/>
    <w:rsid w:val="00AE4C21"/>
    <w:rsid w:val="00B274C9"/>
    <w:rsid w:val="00B42C75"/>
    <w:rsid w:val="00B55431"/>
    <w:rsid w:val="00B612E5"/>
    <w:rsid w:val="00B63BD5"/>
    <w:rsid w:val="00B75262"/>
    <w:rsid w:val="00BA108B"/>
    <w:rsid w:val="00BA6BD9"/>
    <w:rsid w:val="00BB4D60"/>
    <w:rsid w:val="00C04EBF"/>
    <w:rsid w:val="00C06FA9"/>
    <w:rsid w:val="00C21557"/>
    <w:rsid w:val="00C75015"/>
    <w:rsid w:val="00C85C46"/>
    <w:rsid w:val="00C924C8"/>
    <w:rsid w:val="00CC603F"/>
    <w:rsid w:val="00CE3B33"/>
    <w:rsid w:val="00CE46E8"/>
    <w:rsid w:val="00CE4F05"/>
    <w:rsid w:val="00CF6737"/>
    <w:rsid w:val="00D132BA"/>
    <w:rsid w:val="00D71E81"/>
    <w:rsid w:val="00DA2184"/>
    <w:rsid w:val="00DC0E18"/>
    <w:rsid w:val="00DC7368"/>
    <w:rsid w:val="00DF68B2"/>
    <w:rsid w:val="00E3286C"/>
    <w:rsid w:val="00E644F0"/>
    <w:rsid w:val="00E672DE"/>
    <w:rsid w:val="00EC342A"/>
    <w:rsid w:val="00EC5FDF"/>
    <w:rsid w:val="00EE2B39"/>
    <w:rsid w:val="00EF57BD"/>
    <w:rsid w:val="00F02E36"/>
    <w:rsid w:val="00F54B4D"/>
    <w:rsid w:val="00F861C7"/>
    <w:rsid w:val="00F8744F"/>
    <w:rsid w:val="00F9751A"/>
    <w:rsid w:val="00FD2820"/>
    <w:rsid w:val="00FD52D0"/>
    <w:rsid w:val="00FF3BAF"/>
    <w:rsid w:val="00FF7574"/>
    <w:rsid w:val="13C96CEA"/>
    <w:rsid w:val="17D02B6E"/>
    <w:rsid w:val="1A626DED"/>
    <w:rsid w:val="1C8B0004"/>
    <w:rsid w:val="1D941622"/>
    <w:rsid w:val="21BD0646"/>
    <w:rsid w:val="239E6C58"/>
    <w:rsid w:val="240D43A8"/>
    <w:rsid w:val="265946A9"/>
    <w:rsid w:val="2AF84B1D"/>
    <w:rsid w:val="2C960FA9"/>
    <w:rsid w:val="36930279"/>
    <w:rsid w:val="3C884BE7"/>
    <w:rsid w:val="3F563989"/>
    <w:rsid w:val="404F2343"/>
    <w:rsid w:val="54B36C45"/>
    <w:rsid w:val="58663827"/>
    <w:rsid w:val="631775E8"/>
    <w:rsid w:val="64611231"/>
    <w:rsid w:val="6AD3401E"/>
    <w:rsid w:val="71940305"/>
    <w:rsid w:val="75AD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ABD55D"/>
  <w15:docId w15:val="{FEC621B5-E46B-4FDC-BCCA-13F3D09F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character" w:styleId="af">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0">
    <w:name w:val="List Paragraph"/>
    <w:basedOn w:val="a"/>
    <w:uiPriority w:val="99"/>
    <w:qFormat/>
    <w:pPr>
      <w:ind w:firstLineChars="200" w:firstLine="420"/>
    </w:pPr>
  </w:style>
  <w:style w:type="paragraph" w:customStyle="1" w:styleId="11">
    <w:name w:val="修订1"/>
    <w:hidden/>
    <w:uiPriority w:val="99"/>
    <w:semiHidden/>
    <w:qFormat/>
    <w:rPr>
      <w:sz w:val="22"/>
      <w:szCs w:val="22"/>
      <w:lang w:eastAsia="en-US"/>
    </w:rPr>
  </w:style>
  <w:style w:type="paragraph" w:customStyle="1" w:styleId="2">
    <w:name w:val="修订2"/>
    <w:hidden/>
    <w:uiPriority w:val="99"/>
    <w:semiHidden/>
    <w:qFormat/>
    <w:rPr>
      <w:sz w:val="22"/>
      <w:szCs w:val="22"/>
      <w:lang w:eastAsia="en-US"/>
    </w:rPr>
  </w:style>
  <w:style w:type="paragraph" w:styleId="af1">
    <w:name w:val="Revision"/>
    <w:hidden/>
    <w:uiPriority w:val="99"/>
    <w:semiHidden/>
    <w:rsid w:val="00AB1A1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用户;HYT</dc:creator>
  <cp:lastModifiedBy>SES0140</cp:lastModifiedBy>
  <cp:revision>35</cp:revision>
  <dcterms:created xsi:type="dcterms:W3CDTF">2022-12-15T02:58:00Z</dcterms:created>
  <dcterms:modified xsi:type="dcterms:W3CDTF">2023-02-02T02:40:00Z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2052-11.1.0.12132</vt:lpwstr>
  </property>
  <property fmtid="{D5CDD505-2E9C-101B-9397-08002B2CF9AE}" pid="6" name="ICV">
    <vt:lpwstr>9E2ADBC00CA9449084DAD19EA59D8638</vt:lpwstr>
  </property>
</Properties>
</file>